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E15D1" w:rsidRDefault="000E15D1" w:rsidP="00DC3440">
      <w:pPr>
        <w:spacing w:line="200" w:lineRule="exact"/>
        <w:jc w:val="right"/>
        <w:rPr>
          <w:rFonts w:ascii="Times New Roman" w:hAnsi="Times New Roman"/>
          <w:sz w:val="24"/>
        </w:rPr>
      </w:pPr>
    </w:p>
    <w:p w:rsidR="00DC3440" w:rsidRDefault="00DC3440" w:rsidP="00DC3440">
      <w:pPr>
        <w:spacing w:line="200" w:lineRule="exact"/>
        <w:jc w:val="right"/>
        <w:rPr>
          <w:rFonts w:ascii="Times New Roman" w:hAnsi="Times New Roman"/>
          <w:sz w:val="24"/>
        </w:rPr>
      </w:pPr>
      <w:r>
        <w:rPr>
          <w:rFonts w:ascii="Times New Roman" w:hAnsi="Times New Roman"/>
          <w:sz w:val="24"/>
        </w:rPr>
        <w:t>Al Presidente dell’Assemblea Territoriale d’Ambito</w:t>
      </w:r>
    </w:p>
    <w:p w:rsidR="00DC3440" w:rsidRDefault="00DC3440" w:rsidP="00DC3440">
      <w:pPr>
        <w:spacing w:line="276" w:lineRule="exact"/>
        <w:rPr>
          <w:rFonts w:ascii="Times New Roman" w:hAnsi="Times New Roman"/>
        </w:rPr>
      </w:pPr>
    </w:p>
    <w:p w:rsidR="00DC3440" w:rsidRDefault="00DC3440" w:rsidP="00DC3440">
      <w:pPr>
        <w:spacing w:line="240" w:lineRule="atLeast"/>
        <w:jc w:val="center"/>
        <w:rPr>
          <w:rFonts w:ascii="Times New Roman" w:hAnsi="Times New Roman"/>
          <w:b/>
          <w:sz w:val="24"/>
        </w:rPr>
      </w:pPr>
    </w:p>
    <w:p w:rsidR="00DC3440" w:rsidRDefault="00DC3440" w:rsidP="00DC3440">
      <w:pPr>
        <w:spacing w:line="240" w:lineRule="atLeast"/>
        <w:jc w:val="center"/>
        <w:rPr>
          <w:rFonts w:ascii="Times New Roman" w:hAnsi="Times New Roman"/>
          <w:b/>
          <w:sz w:val="24"/>
        </w:rPr>
      </w:pPr>
      <w:r>
        <w:rPr>
          <w:rFonts w:ascii="Times New Roman" w:hAnsi="Times New Roman"/>
          <w:b/>
          <w:sz w:val="24"/>
        </w:rPr>
        <w:t>PRELIMINARE DI DECRETO DEL PRESIDENTE</w:t>
      </w:r>
    </w:p>
    <w:p w:rsidR="00DC3440" w:rsidRDefault="00DC3440" w:rsidP="00DC3440">
      <w:pPr>
        <w:spacing w:line="240" w:lineRule="atLeast"/>
        <w:jc w:val="center"/>
        <w:rPr>
          <w:rFonts w:ascii="Times New Roman" w:hAnsi="Times New Roman"/>
          <w:b/>
          <w:sz w:val="24"/>
        </w:rPr>
      </w:pPr>
      <w:r>
        <w:rPr>
          <w:rFonts w:ascii="Times New Roman" w:hAnsi="Times New Roman"/>
          <w:b/>
          <w:sz w:val="24"/>
        </w:rPr>
        <w:t>DEL 19/03/2019</w:t>
      </w:r>
    </w:p>
    <w:p w:rsidR="00DC3440" w:rsidRDefault="00DC3440" w:rsidP="00DC3440">
      <w:pPr>
        <w:spacing w:line="240" w:lineRule="atLeast"/>
        <w:rPr>
          <w:rFonts w:ascii="Times New Roman" w:hAnsi="Times New Roman"/>
          <w:b/>
          <w:sz w:val="24"/>
        </w:rPr>
      </w:pPr>
    </w:p>
    <w:tbl>
      <w:tblPr>
        <w:tblStyle w:val="Grigliatabella"/>
        <w:tblW w:w="0" w:type="auto"/>
        <w:tblLook w:val="04A0" w:firstRow="1" w:lastRow="0" w:firstColumn="1" w:lastColumn="0" w:noHBand="0" w:noVBand="1"/>
      </w:tblPr>
      <w:tblGrid>
        <w:gridCol w:w="9302"/>
      </w:tblGrid>
      <w:tr w:rsidR="000E15D1" w:rsidTr="000E15D1">
        <w:trPr>
          <w:trHeight w:val="596"/>
        </w:trPr>
        <w:tc>
          <w:tcPr>
            <w:tcW w:w="9302" w:type="dxa"/>
          </w:tcPr>
          <w:p w:rsidR="000E15D1" w:rsidRPr="000E15D1" w:rsidRDefault="000E15D1" w:rsidP="000E15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b/>
                <w:sz w:val="24"/>
                <w:szCs w:val="24"/>
              </w:rPr>
            </w:pPr>
            <w:r>
              <w:rPr>
                <w:rFonts w:ascii="Times New Roman" w:hAnsi="Times New Roman"/>
                <w:b/>
                <w:sz w:val="24"/>
              </w:rPr>
              <w:t>Approvazione dello schema del Bilancio di Previsione finanziario relativo al triennio 2019/2020/2021 e relativi allegati</w:t>
            </w:r>
            <w:r w:rsidRPr="00982FCE">
              <w:rPr>
                <w:rFonts w:ascii="Times New Roman" w:hAnsi="Times New Roman" w:cs="Times New Roman"/>
                <w:b/>
                <w:sz w:val="24"/>
                <w:szCs w:val="24"/>
              </w:rPr>
              <w:t xml:space="preserve"> </w:t>
            </w:r>
          </w:p>
        </w:tc>
      </w:tr>
    </w:tbl>
    <w:p w:rsidR="00DC3440" w:rsidRPr="008263F7" w:rsidRDefault="00DC3440" w:rsidP="00DC3440">
      <w:pPr>
        <w:spacing w:line="276" w:lineRule="exact"/>
        <w:rPr>
          <w:rFonts w:ascii="Times New Roman" w:hAnsi="Times New Roman"/>
          <w:sz w:val="24"/>
        </w:rPr>
      </w:pPr>
    </w:p>
    <w:p w:rsidR="00CF12B0" w:rsidRDefault="00CF12B0" w:rsidP="00CF12B0">
      <w:pPr>
        <w:spacing w:line="276" w:lineRule="exact"/>
        <w:jc w:val="both"/>
        <w:rPr>
          <w:rFonts w:ascii="Times New Roman" w:hAnsi="Times New Roman"/>
          <w:b/>
          <w:sz w:val="24"/>
        </w:rPr>
      </w:pPr>
      <w:r w:rsidRPr="00E4366A">
        <w:rPr>
          <w:rFonts w:ascii="Times New Roman" w:hAnsi="Times New Roman" w:cs="Times New Roman"/>
          <w:b/>
          <w:bCs/>
          <w:sz w:val="24"/>
          <w:szCs w:val="24"/>
        </w:rPr>
        <w:t xml:space="preserve">DOCUMENTO DI PROPOSTA </w:t>
      </w:r>
      <w:bookmarkStart w:id="0" w:name="_GoBack"/>
      <w:bookmarkEnd w:id="0"/>
    </w:p>
    <w:p w:rsidR="00CF12B0" w:rsidRDefault="00CF12B0" w:rsidP="00AB2C25">
      <w:pPr>
        <w:jc w:val="both"/>
        <w:rPr>
          <w:rFonts w:ascii="Times New Roman" w:hAnsi="Times New Roman" w:cs="Times New Roman"/>
          <w:sz w:val="24"/>
          <w:szCs w:val="24"/>
        </w:rPr>
      </w:pPr>
    </w:p>
    <w:p w:rsidR="00AB2C25" w:rsidRPr="00AB2C25" w:rsidRDefault="00AB2C25" w:rsidP="00AB2C25">
      <w:pPr>
        <w:jc w:val="both"/>
        <w:rPr>
          <w:rFonts w:ascii="Times New Roman" w:hAnsi="Times New Roman" w:cs="Times New Roman"/>
          <w:sz w:val="24"/>
          <w:szCs w:val="24"/>
        </w:rPr>
      </w:pPr>
      <w:r w:rsidRPr="00AB2C25">
        <w:rPr>
          <w:rFonts w:ascii="Times New Roman" w:hAnsi="Times New Roman" w:cs="Times New Roman"/>
          <w:sz w:val="24"/>
          <w:szCs w:val="24"/>
        </w:rPr>
        <w:t xml:space="preserve">PREMESSO CHE: </w:t>
      </w:r>
    </w:p>
    <w:p w:rsidR="00AB2C25" w:rsidRPr="00E5597B" w:rsidRDefault="00AB2C25" w:rsidP="00AB2C25">
      <w:pPr>
        <w:pStyle w:val="rtf1Default"/>
        <w:numPr>
          <w:ilvl w:val="0"/>
          <w:numId w:val="35"/>
        </w:numPr>
        <w:ind w:left="284" w:hanging="284"/>
        <w:jc w:val="both"/>
        <w:rPr>
          <w:rFonts w:ascii="Times New Roman" w:hAnsi="Times New Roman" w:cs="Times New Roman"/>
        </w:rPr>
      </w:pPr>
      <w:r w:rsidRPr="00C444C3">
        <w:rPr>
          <w:rFonts w:ascii="Times New Roman" w:hAnsi="Times New Roman" w:cs="Times New Roman"/>
        </w:rPr>
        <w:t xml:space="preserve">l’ATA si è formalmente costituita in data 24.10.2013; </w:t>
      </w:r>
    </w:p>
    <w:p w:rsidR="00AB2C25" w:rsidRDefault="00AB2C25" w:rsidP="00AB2C25">
      <w:pPr>
        <w:pStyle w:val="rtf1Default"/>
        <w:numPr>
          <w:ilvl w:val="0"/>
          <w:numId w:val="36"/>
        </w:numPr>
        <w:ind w:left="284" w:hanging="284"/>
        <w:jc w:val="both"/>
        <w:rPr>
          <w:rFonts w:ascii="Times New Roman" w:hAnsi="Times New Roman" w:cs="Times New Roman"/>
        </w:rPr>
      </w:pPr>
      <w:r>
        <w:rPr>
          <w:rFonts w:ascii="Times New Roman" w:hAnsi="Times New Roman" w:cs="Times New Roman"/>
        </w:rPr>
        <w:t>ai sensi dell’art.14 della Convenzione istitutiva, all’ATA si applicano, in quanto compatibili, le disposizioni concernenti gli Enti locali ed in particolare quelle del TUEL;</w:t>
      </w:r>
    </w:p>
    <w:p w:rsidR="00D3356A" w:rsidRDefault="00D3356A" w:rsidP="00D3356A">
      <w:pPr>
        <w:pStyle w:val="rtf1Default"/>
        <w:ind w:left="284"/>
        <w:jc w:val="both"/>
        <w:rPr>
          <w:rFonts w:ascii="Times New Roman" w:hAnsi="Times New Roman" w:cs="Times New Roman"/>
        </w:rPr>
      </w:pPr>
    </w:p>
    <w:p w:rsidR="00CF12B0" w:rsidRDefault="00CF12B0" w:rsidP="00CF12B0">
      <w:pPr>
        <w:pStyle w:val="rtf1Default"/>
        <w:jc w:val="both"/>
        <w:rPr>
          <w:rFonts w:ascii="Times New Roman" w:hAnsi="Times New Roman" w:cs="Times New Roman"/>
        </w:rPr>
      </w:pPr>
      <w:r w:rsidRPr="00AB2C25">
        <w:rPr>
          <w:rFonts w:ascii="Times New Roman" w:hAnsi="Times New Roman" w:cs="Times New Roman"/>
        </w:rPr>
        <w:t xml:space="preserve">PREMESSO </w:t>
      </w:r>
      <w:r>
        <w:rPr>
          <w:rFonts w:ascii="Times New Roman" w:hAnsi="Times New Roman" w:cs="Times New Roman"/>
        </w:rPr>
        <w:t xml:space="preserve">altresì </w:t>
      </w:r>
      <w:r w:rsidRPr="00AB2C25">
        <w:rPr>
          <w:rFonts w:ascii="Times New Roman" w:hAnsi="Times New Roman" w:cs="Times New Roman"/>
        </w:rPr>
        <w:t>CHE</w:t>
      </w:r>
      <w:r>
        <w:rPr>
          <w:rFonts w:ascii="Times New Roman" w:hAnsi="Times New Roman" w:cs="Times New Roman"/>
        </w:rPr>
        <w:t>:</w:t>
      </w:r>
    </w:p>
    <w:p w:rsidR="009929DE" w:rsidRDefault="009929DE" w:rsidP="00D3356A">
      <w:pPr>
        <w:pStyle w:val="rtf1Default"/>
        <w:numPr>
          <w:ilvl w:val="0"/>
          <w:numId w:val="36"/>
        </w:numPr>
        <w:ind w:left="284" w:hanging="284"/>
        <w:jc w:val="both"/>
        <w:rPr>
          <w:rFonts w:ascii="Times New Roman" w:hAnsi="Times New Roman" w:cs="Times New Roman"/>
        </w:rPr>
      </w:pPr>
      <w:r w:rsidRPr="00D3356A">
        <w:rPr>
          <w:rFonts w:ascii="Times New Roman" w:hAnsi="Times New Roman" w:cs="Times New Roman"/>
        </w:rPr>
        <w:t xml:space="preserve">con il </w:t>
      </w:r>
      <w:proofErr w:type="spellStart"/>
      <w:proofErr w:type="gramStart"/>
      <w:r w:rsidRPr="00D3356A">
        <w:rPr>
          <w:rFonts w:ascii="Times New Roman" w:hAnsi="Times New Roman" w:cs="Times New Roman"/>
        </w:rPr>
        <w:t>D.Lgs</w:t>
      </w:r>
      <w:proofErr w:type="gramEnd"/>
      <w:r w:rsidRPr="00D3356A">
        <w:rPr>
          <w:rFonts w:ascii="Times New Roman" w:hAnsi="Times New Roman" w:cs="Times New Roman"/>
        </w:rPr>
        <w:t>.</w:t>
      </w:r>
      <w:proofErr w:type="spellEnd"/>
      <w:r w:rsidRPr="00D3356A">
        <w:rPr>
          <w:rFonts w:ascii="Times New Roman" w:hAnsi="Times New Roman" w:cs="Times New Roman"/>
        </w:rPr>
        <w:t xml:space="preserve"> n.118/2011, successivamente modificato con il </w:t>
      </w:r>
      <w:proofErr w:type="spellStart"/>
      <w:proofErr w:type="gramStart"/>
      <w:r w:rsidRPr="00D3356A">
        <w:rPr>
          <w:rFonts w:ascii="Times New Roman" w:hAnsi="Times New Roman" w:cs="Times New Roman"/>
        </w:rPr>
        <w:t>D.Lgs</w:t>
      </w:r>
      <w:proofErr w:type="gramEnd"/>
      <w:r w:rsidRPr="00D3356A">
        <w:rPr>
          <w:rFonts w:ascii="Times New Roman" w:hAnsi="Times New Roman" w:cs="Times New Roman"/>
        </w:rPr>
        <w:t>.</w:t>
      </w:r>
      <w:proofErr w:type="spellEnd"/>
      <w:r w:rsidRPr="00D3356A">
        <w:rPr>
          <w:rFonts w:ascii="Times New Roman" w:hAnsi="Times New Roman" w:cs="Times New Roman"/>
        </w:rPr>
        <w:t xml:space="preserve"> n.126/2014, sono state introdotte disposizioni in materia di armonizzazione dei sistemi contabili e degli schemi di bilancio delle Regioni, degli enti locali e dei loro enti e organismi strumentali, disposizioni che si applicano anche a questo Ente di governo dell’ambito;</w:t>
      </w:r>
    </w:p>
    <w:p w:rsidR="00D3356A" w:rsidRPr="00D3356A" w:rsidRDefault="00D3356A" w:rsidP="00D3356A">
      <w:pPr>
        <w:rPr>
          <w:rFonts w:ascii="Times New Roman" w:hAnsi="Times New Roman"/>
        </w:rPr>
      </w:pPr>
    </w:p>
    <w:p w:rsidR="009929DE" w:rsidRDefault="009929DE" w:rsidP="00D3356A">
      <w:pPr>
        <w:pStyle w:val="rtf1Default"/>
        <w:numPr>
          <w:ilvl w:val="0"/>
          <w:numId w:val="36"/>
        </w:numPr>
        <w:ind w:left="284" w:hanging="284"/>
        <w:jc w:val="both"/>
        <w:rPr>
          <w:rFonts w:ascii="Times New Roman" w:hAnsi="Times New Roman" w:cs="Times New Roman"/>
        </w:rPr>
      </w:pPr>
      <w:r w:rsidRPr="00D3356A">
        <w:rPr>
          <w:rFonts w:ascii="Times New Roman" w:hAnsi="Times New Roman" w:cs="Times New Roman"/>
        </w:rPr>
        <w:t xml:space="preserve">l’art.174 del TUEL prevede che lo schema di bilancio di previsione, finanziario e il Documento unico di programmazione sono predisposti dall'organo esecutivo e da questo presentati all'organo consiliare unitamente agli allegati entro il 15 novembre di ogni anno; </w:t>
      </w:r>
    </w:p>
    <w:p w:rsidR="00D3356A" w:rsidRPr="00D3356A" w:rsidRDefault="00D3356A" w:rsidP="00D3356A">
      <w:pPr>
        <w:rPr>
          <w:rFonts w:ascii="Times New Roman" w:hAnsi="Times New Roman"/>
        </w:rPr>
      </w:pPr>
    </w:p>
    <w:p w:rsidR="009929DE" w:rsidRPr="00D3356A" w:rsidRDefault="009929DE" w:rsidP="00D3356A">
      <w:pPr>
        <w:pStyle w:val="rtf1Default"/>
        <w:numPr>
          <w:ilvl w:val="0"/>
          <w:numId w:val="36"/>
        </w:numPr>
        <w:ind w:left="284" w:hanging="284"/>
        <w:jc w:val="both"/>
        <w:rPr>
          <w:rFonts w:ascii="Times New Roman" w:hAnsi="Times New Roman" w:cs="Times New Roman"/>
        </w:rPr>
      </w:pPr>
      <w:r w:rsidRPr="00D3356A">
        <w:rPr>
          <w:rFonts w:ascii="Times New Roman" w:hAnsi="Times New Roman" w:cs="Times New Roman"/>
        </w:rPr>
        <w:t>ai sensi dell’art.151 del TUEL gli enti locali deliberano entro il 31 dicembre il bilancio di previsione per il triennio successivo;</w:t>
      </w:r>
    </w:p>
    <w:p w:rsidR="009929DE" w:rsidRPr="00982FCE" w:rsidRDefault="009929DE" w:rsidP="009929DE">
      <w:pPr>
        <w:jc w:val="both"/>
        <w:rPr>
          <w:rFonts w:ascii="Times New Roman" w:hAnsi="Times New Roman" w:cs="Times New Roman"/>
          <w:sz w:val="24"/>
          <w:szCs w:val="24"/>
        </w:rPr>
      </w:pPr>
    </w:p>
    <w:p w:rsidR="0003745B" w:rsidRDefault="0003745B" w:rsidP="0003745B">
      <w:pPr>
        <w:jc w:val="both"/>
        <w:rPr>
          <w:rFonts w:ascii="Times New Roman" w:hAnsi="Times New Roman" w:cs="Times New Roman"/>
          <w:sz w:val="24"/>
          <w:szCs w:val="24"/>
        </w:rPr>
      </w:pPr>
      <w:r>
        <w:rPr>
          <w:rFonts w:ascii="Times New Roman" w:hAnsi="Times New Roman" w:cs="Times New Roman"/>
          <w:color w:val="000000"/>
          <w:sz w:val="24"/>
          <w:szCs w:val="24"/>
          <w:lang w:eastAsia="en-US"/>
        </w:rPr>
        <w:t>CONSIDERATO CHE</w:t>
      </w:r>
      <w:r w:rsidRPr="002303E1">
        <w:rPr>
          <w:rFonts w:ascii="Times New Roman" w:hAnsi="Times New Roman" w:cs="Times New Roman"/>
          <w:sz w:val="24"/>
          <w:szCs w:val="24"/>
        </w:rPr>
        <w:t xml:space="preserve"> con decreto del ministro dell'Interno 25 gennai</w:t>
      </w:r>
      <w:r>
        <w:rPr>
          <w:rFonts w:ascii="Times New Roman" w:hAnsi="Times New Roman" w:cs="Times New Roman"/>
          <w:sz w:val="24"/>
          <w:szCs w:val="24"/>
        </w:rPr>
        <w:t>o 2019, pubblicato e consultabil</w:t>
      </w:r>
      <w:r w:rsidRPr="002303E1">
        <w:rPr>
          <w:rFonts w:ascii="Times New Roman" w:hAnsi="Times New Roman" w:cs="Times New Roman"/>
          <w:sz w:val="24"/>
          <w:szCs w:val="24"/>
        </w:rPr>
        <w:t>e on line sulla Gazzetta ufficiale, Serie generale, n.28 del 2 febbraio 2019</w:t>
      </w:r>
      <w:r>
        <w:rPr>
          <w:rFonts w:ascii="Times New Roman" w:hAnsi="Times New Roman" w:cs="Times New Roman"/>
          <w:sz w:val="24"/>
          <w:szCs w:val="24"/>
        </w:rPr>
        <w:t>, è stato p</w:t>
      </w:r>
      <w:r w:rsidRPr="002303E1">
        <w:rPr>
          <w:rFonts w:ascii="Times New Roman" w:hAnsi="Times New Roman" w:cs="Times New Roman"/>
          <w:sz w:val="24"/>
          <w:szCs w:val="24"/>
        </w:rPr>
        <w:t>rorogato al 31 marzo 2019 il termine per la deliberazione del bilancio di previsione 2019-2021 da parte degli enti locali</w:t>
      </w:r>
      <w:r>
        <w:rPr>
          <w:rFonts w:ascii="Times New Roman" w:hAnsi="Times New Roman" w:cs="Times New Roman"/>
          <w:sz w:val="24"/>
          <w:szCs w:val="24"/>
        </w:rPr>
        <w:t>;</w:t>
      </w:r>
    </w:p>
    <w:p w:rsidR="00F83DBB" w:rsidRPr="00F3728D" w:rsidRDefault="00F83DBB" w:rsidP="00F83DBB">
      <w:pPr>
        <w:ind w:left="720"/>
        <w:jc w:val="both"/>
        <w:rPr>
          <w:rFonts w:ascii="Times New Roman" w:hAnsi="Times New Roman" w:cs="Times New Roman"/>
          <w:color w:val="000000"/>
          <w:sz w:val="24"/>
          <w:szCs w:val="24"/>
          <w:lang w:eastAsia="en-US"/>
        </w:rPr>
      </w:pPr>
    </w:p>
    <w:p w:rsidR="009929DE" w:rsidRPr="00982FCE" w:rsidRDefault="009929DE" w:rsidP="009929DE">
      <w:pPr>
        <w:jc w:val="both"/>
        <w:rPr>
          <w:rFonts w:ascii="Times New Roman" w:hAnsi="Times New Roman" w:cs="Times New Roman"/>
          <w:sz w:val="24"/>
          <w:szCs w:val="24"/>
        </w:rPr>
      </w:pPr>
      <w:r>
        <w:rPr>
          <w:rFonts w:ascii="Times New Roman" w:hAnsi="Times New Roman" w:cs="Times New Roman"/>
          <w:sz w:val="24"/>
          <w:szCs w:val="24"/>
        </w:rPr>
        <w:t>RITENUTO NECESSARIO:</w:t>
      </w:r>
      <w:r w:rsidRPr="00982FCE">
        <w:rPr>
          <w:rFonts w:ascii="Times New Roman" w:hAnsi="Times New Roman" w:cs="Times New Roman"/>
          <w:sz w:val="24"/>
          <w:szCs w:val="24"/>
        </w:rPr>
        <w:t xml:space="preserve"> </w:t>
      </w:r>
    </w:p>
    <w:p w:rsidR="009929DE" w:rsidRPr="00982FCE" w:rsidRDefault="009929DE" w:rsidP="009929DE">
      <w:pPr>
        <w:jc w:val="both"/>
        <w:rPr>
          <w:rFonts w:ascii="Times New Roman" w:hAnsi="Times New Roman" w:cs="Times New Roman"/>
          <w:sz w:val="24"/>
          <w:szCs w:val="24"/>
        </w:rPr>
      </w:pPr>
      <w:r>
        <w:rPr>
          <w:rFonts w:ascii="Times New Roman" w:hAnsi="Times New Roman" w:cs="Times New Roman"/>
          <w:sz w:val="24"/>
          <w:szCs w:val="24"/>
        </w:rPr>
        <w:t xml:space="preserve">presentare all’Assemblea </w:t>
      </w:r>
      <w:r w:rsidRPr="00982FCE">
        <w:rPr>
          <w:rFonts w:ascii="Times New Roman" w:hAnsi="Times New Roman" w:cs="Times New Roman"/>
          <w:sz w:val="24"/>
          <w:szCs w:val="24"/>
        </w:rPr>
        <w:t xml:space="preserve">lo schema del bilancio di </w:t>
      </w:r>
      <w:proofErr w:type="gramStart"/>
      <w:r w:rsidRPr="00982FCE">
        <w:rPr>
          <w:rFonts w:ascii="Times New Roman" w:hAnsi="Times New Roman" w:cs="Times New Roman"/>
          <w:sz w:val="24"/>
          <w:szCs w:val="24"/>
        </w:rPr>
        <w:t>previsione  per</w:t>
      </w:r>
      <w:proofErr w:type="gramEnd"/>
      <w:r w:rsidRPr="00982FCE">
        <w:rPr>
          <w:rFonts w:ascii="Times New Roman" w:hAnsi="Times New Roman" w:cs="Times New Roman"/>
          <w:sz w:val="24"/>
          <w:szCs w:val="24"/>
        </w:rPr>
        <w:t xml:space="preserve"> il triennio </w:t>
      </w:r>
      <w:r>
        <w:rPr>
          <w:rFonts w:ascii="Times New Roman" w:hAnsi="Times New Roman" w:cs="Times New Roman"/>
          <w:sz w:val="24"/>
          <w:szCs w:val="24"/>
        </w:rPr>
        <w:t>2019/2020</w:t>
      </w:r>
      <w:r w:rsidR="0003745B">
        <w:rPr>
          <w:rFonts w:ascii="Times New Roman" w:hAnsi="Times New Roman" w:cs="Times New Roman"/>
          <w:sz w:val="24"/>
          <w:szCs w:val="24"/>
        </w:rPr>
        <w:t>/2021</w:t>
      </w:r>
      <w:r>
        <w:rPr>
          <w:rFonts w:ascii="Times New Roman" w:hAnsi="Times New Roman" w:cs="Times New Roman"/>
          <w:sz w:val="24"/>
          <w:szCs w:val="24"/>
        </w:rPr>
        <w:t xml:space="preserve"> </w:t>
      </w:r>
      <w:r w:rsidRPr="00982FCE">
        <w:rPr>
          <w:rFonts w:ascii="Times New Roman" w:hAnsi="Times New Roman" w:cs="Times New Roman"/>
          <w:sz w:val="24"/>
          <w:szCs w:val="24"/>
        </w:rPr>
        <w:t>ed i relativi allegati (</w:t>
      </w:r>
      <w:r w:rsidR="005C3670" w:rsidRPr="00982FCE">
        <w:rPr>
          <w:rFonts w:ascii="Times New Roman" w:hAnsi="Times New Roman" w:cs="Times New Roman"/>
          <w:i/>
          <w:sz w:val="24"/>
          <w:szCs w:val="24"/>
        </w:rPr>
        <w:t xml:space="preserve">nota integrativa </w:t>
      </w:r>
      <w:r w:rsidRPr="00982FCE">
        <w:rPr>
          <w:rFonts w:ascii="Times New Roman" w:hAnsi="Times New Roman" w:cs="Times New Roman"/>
          <w:i/>
          <w:sz w:val="24"/>
          <w:szCs w:val="24"/>
        </w:rPr>
        <w:t>prospetto esplicativo del presunto risultato di amministrazione, prospetto concernente la composizione, per missioni e programmi, del fondo pluriennale vincolato, il prospetto concernente la composizione del fondo crediti di dubbia esigibilità</w:t>
      </w:r>
      <w:r w:rsidRPr="00982FCE">
        <w:rPr>
          <w:rFonts w:ascii="Times New Roman" w:hAnsi="Times New Roman" w:cs="Times New Roman"/>
          <w:sz w:val="24"/>
          <w:szCs w:val="24"/>
        </w:rPr>
        <w:t>);</w:t>
      </w:r>
    </w:p>
    <w:p w:rsidR="009929DE" w:rsidRPr="00982FCE" w:rsidRDefault="009929DE" w:rsidP="009929DE">
      <w:pPr>
        <w:jc w:val="both"/>
        <w:rPr>
          <w:rFonts w:ascii="Times New Roman" w:hAnsi="Times New Roman" w:cs="Times New Roman"/>
          <w:sz w:val="24"/>
          <w:szCs w:val="24"/>
        </w:rPr>
      </w:pPr>
    </w:p>
    <w:p w:rsidR="009929DE" w:rsidRPr="002B5579" w:rsidRDefault="009929DE" w:rsidP="009929DE">
      <w:pPr>
        <w:jc w:val="both"/>
        <w:rPr>
          <w:rFonts w:ascii="Times New Roman" w:hAnsi="Times New Roman" w:cs="Times New Roman"/>
          <w:caps/>
          <w:sz w:val="24"/>
          <w:szCs w:val="24"/>
        </w:rPr>
      </w:pPr>
      <w:r w:rsidRPr="002B5579">
        <w:rPr>
          <w:rFonts w:ascii="Times New Roman" w:hAnsi="Times New Roman" w:cs="Times New Roman"/>
          <w:caps/>
          <w:sz w:val="24"/>
          <w:szCs w:val="24"/>
        </w:rPr>
        <w:t>Dato atto che:</w:t>
      </w:r>
    </w:p>
    <w:p w:rsidR="009929DE" w:rsidRPr="005A3D7F" w:rsidRDefault="009929DE" w:rsidP="009929DE">
      <w:pPr>
        <w:numPr>
          <w:ilvl w:val="0"/>
          <w:numId w:val="31"/>
        </w:numPr>
        <w:ind w:left="426" w:hanging="426"/>
        <w:jc w:val="both"/>
        <w:rPr>
          <w:rFonts w:ascii="Times New Roman" w:hAnsi="Times New Roman" w:cs="Times New Roman"/>
          <w:sz w:val="24"/>
          <w:szCs w:val="24"/>
        </w:rPr>
      </w:pPr>
      <w:r w:rsidRPr="005A3D7F">
        <w:rPr>
          <w:rFonts w:ascii="Times New Roman" w:hAnsi="Times New Roman" w:cs="Times New Roman"/>
          <w:sz w:val="24"/>
          <w:szCs w:val="24"/>
        </w:rPr>
        <w:t>le previsioni del bilancio sono elaborate sulla base delle linee strategiche contenute nella not</w:t>
      </w:r>
      <w:r w:rsidR="0003745B">
        <w:rPr>
          <w:rFonts w:ascii="Times New Roman" w:hAnsi="Times New Roman" w:cs="Times New Roman"/>
          <w:sz w:val="24"/>
          <w:szCs w:val="24"/>
        </w:rPr>
        <w:t xml:space="preserve">a di aggiornamento del DUP </w:t>
      </w:r>
      <w:r w:rsidRPr="005A3D7F">
        <w:rPr>
          <w:rFonts w:ascii="Times New Roman" w:hAnsi="Times New Roman" w:cs="Times New Roman"/>
          <w:sz w:val="24"/>
          <w:szCs w:val="24"/>
        </w:rPr>
        <w:t>2019/2020</w:t>
      </w:r>
      <w:r w:rsidR="0003745B">
        <w:rPr>
          <w:rFonts w:ascii="Times New Roman" w:hAnsi="Times New Roman" w:cs="Times New Roman"/>
          <w:sz w:val="24"/>
          <w:szCs w:val="24"/>
        </w:rPr>
        <w:t>/2021</w:t>
      </w:r>
      <w:r w:rsidRPr="005A3D7F">
        <w:rPr>
          <w:rFonts w:ascii="Times New Roman" w:hAnsi="Times New Roman" w:cs="Times New Roman"/>
          <w:sz w:val="24"/>
          <w:szCs w:val="24"/>
        </w:rPr>
        <w:t xml:space="preserve"> di cui al Decreto Presidenziale</w:t>
      </w:r>
      <w:r w:rsidR="003910A9">
        <w:rPr>
          <w:rFonts w:ascii="Times New Roman" w:hAnsi="Times New Roman" w:cs="Times New Roman"/>
          <w:sz w:val="24"/>
          <w:szCs w:val="24"/>
        </w:rPr>
        <w:t xml:space="preserve"> n.2</w:t>
      </w:r>
      <w:r w:rsidRPr="005A3D7F">
        <w:rPr>
          <w:rFonts w:ascii="Times New Roman" w:hAnsi="Times New Roman" w:cs="Times New Roman"/>
          <w:sz w:val="24"/>
          <w:szCs w:val="24"/>
        </w:rPr>
        <w:t xml:space="preserve"> </w:t>
      </w:r>
      <w:r w:rsidR="003910A9">
        <w:rPr>
          <w:rFonts w:ascii="Times New Roman" w:hAnsi="Times New Roman" w:cs="Times New Roman"/>
          <w:sz w:val="24"/>
          <w:szCs w:val="24"/>
        </w:rPr>
        <w:t>del 19/03/2019</w:t>
      </w:r>
      <w:r w:rsidRPr="005A3D7F">
        <w:rPr>
          <w:rFonts w:ascii="Times New Roman" w:hAnsi="Times New Roman" w:cs="Times New Roman"/>
          <w:sz w:val="24"/>
          <w:szCs w:val="24"/>
        </w:rPr>
        <w:t xml:space="preserve">; </w:t>
      </w:r>
    </w:p>
    <w:p w:rsidR="009929DE" w:rsidRDefault="009929DE" w:rsidP="009929DE">
      <w:pPr>
        <w:numPr>
          <w:ilvl w:val="0"/>
          <w:numId w:val="31"/>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ai sensi dell’allegato 4/1 al </w:t>
      </w:r>
      <w:proofErr w:type="gramStart"/>
      <w:r>
        <w:rPr>
          <w:rFonts w:ascii="Times New Roman" w:hAnsi="Times New Roman" w:cs="Times New Roman"/>
          <w:sz w:val="24"/>
          <w:szCs w:val="24"/>
        </w:rPr>
        <w:t>D.Lgs</w:t>
      </w:r>
      <w:proofErr w:type="gramEnd"/>
      <w:r>
        <w:rPr>
          <w:rFonts w:ascii="Times New Roman" w:hAnsi="Times New Roman" w:cs="Times New Roman"/>
          <w:sz w:val="24"/>
          <w:szCs w:val="24"/>
        </w:rPr>
        <w:t>.118/2011, par.9.3, l’organo esecutivo unitamente allo  schema di delibera di approvazione del bilancio di previsione finanziario da sottoporre all’organo consiliare, trasmette, a titolo conoscitivo, anche la proposta di articolazione delle tipologie in categorie e dei programmi in macroaggregati;</w:t>
      </w:r>
    </w:p>
    <w:p w:rsidR="009929DE" w:rsidRDefault="009929DE" w:rsidP="009929DE">
      <w:pPr>
        <w:ind w:left="426" w:hanging="426"/>
        <w:jc w:val="both"/>
        <w:rPr>
          <w:rFonts w:ascii="Times New Roman" w:hAnsi="Times New Roman" w:cs="Times New Roman"/>
          <w:sz w:val="24"/>
          <w:szCs w:val="24"/>
        </w:rPr>
      </w:pPr>
    </w:p>
    <w:p w:rsidR="009929DE" w:rsidRDefault="009929DE" w:rsidP="009929DE">
      <w:pPr>
        <w:jc w:val="both"/>
        <w:rPr>
          <w:rFonts w:ascii="Times New Roman" w:hAnsi="Times New Roman" w:cs="Times New Roman"/>
          <w:sz w:val="24"/>
          <w:szCs w:val="24"/>
        </w:rPr>
      </w:pPr>
      <w:r w:rsidRPr="00982FCE">
        <w:rPr>
          <w:rFonts w:ascii="Times New Roman" w:hAnsi="Times New Roman" w:cs="Times New Roman"/>
          <w:sz w:val="24"/>
          <w:szCs w:val="24"/>
        </w:rPr>
        <w:lastRenderedPageBreak/>
        <w:t>ACCERTATO CHE lo schema di bilancio di previsione finan</w:t>
      </w:r>
      <w:r w:rsidR="0003745B">
        <w:rPr>
          <w:rFonts w:ascii="Times New Roman" w:hAnsi="Times New Roman" w:cs="Times New Roman"/>
          <w:sz w:val="24"/>
          <w:szCs w:val="24"/>
        </w:rPr>
        <w:t xml:space="preserve">ziario relativo al triennio </w:t>
      </w:r>
      <w:r>
        <w:rPr>
          <w:rFonts w:ascii="Times New Roman" w:hAnsi="Times New Roman" w:cs="Times New Roman"/>
          <w:sz w:val="24"/>
          <w:szCs w:val="24"/>
        </w:rPr>
        <w:t>2019/2020</w:t>
      </w:r>
      <w:r w:rsidR="0003745B">
        <w:rPr>
          <w:rFonts w:ascii="Times New Roman" w:hAnsi="Times New Roman" w:cs="Times New Roman"/>
          <w:sz w:val="24"/>
          <w:szCs w:val="24"/>
        </w:rPr>
        <w:t>/2021</w:t>
      </w:r>
      <w:r w:rsidRPr="00982FCE">
        <w:rPr>
          <w:rFonts w:ascii="Times New Roman" w:hAnsi="Times New Roman" w:cs="Times New Roman"/>
          <w:sz w:val="24"/>
          <w:szCs w:val="24"/>
        </w:rPr>
        <w:t xml:space="preserve"> è stato elaborato nel rispetto dei principi contabili di cui all’art.162 del TUEL</w:t>
      </w:r>
      <w:r>
        <w:rPr>
          <w:rFonts w:ascii="Times New Roman" w:hAnsi="Times New Roman" w:cs="Times New Roman"/>
          <w:sz w:val="24"/>
          <w:szCs w:val="24"/>
        </w:rPr>
        <w:t xml:space="preserve"> e di cui al </w:t>
      </w:r>
      <w:proofErr w:type="gramStart"/>
      <w:r>
        <w:rPr>
          <w:rFonts w:ascii="Times New Roman" w:hAnsi="Times New Roman" w:cs="Times New Roman"/>
          <w:sz w:val="24"/>
          <w:szCs w:val="24"/>
        </w:rPr>
        <w:t>D.Lgs</w:t>
      </w:r>
      <w:proofErr w:type="gramEnd"/>
      <w:r>
        <w:rPr>
          <w:rFonts w:ascii="Times New Roman" w:hAnsi="Times New Roman" w:cs="Times New Roman"/>
          <w:sz w:val="24"/>
          <w:szCs w:val="24"/>
        </w:rPr>
        <w:t xml:space="preserve">.118/2011 e sue </w:t>
      </w:r>
      <w:proofErr w:type="spellStart"/>
      <w:r>
        <w:rPr>
          <w:rFonts w:ascii="Times New Roman" w:hAnsi="Times New Roman" w:cs="Times New Roman"/>
          <w:sz w:val="24"/>
          <w:szCs w:val="24"/>
        </w:rPr>
        <w:t>succ</w:t>
      </w:r>
      <w:proofErr w:type="spellEnd"/>
      <w:r>
        <w:rPr>
          <w:rFonts w:ascii="Times New Roman" w:hAnsi="Times New Roman" w:cs="Times New Roman"/>
          <w:sz w:val="24"/>
          <w:szCs w:val="24"/>
        </w:rPr>
        <w:t>. mod. ed int.</w:t>
      </w:r>
      <w:r w:rsidRPr="00982FCE">
        <w:rPr>
          <w:rFonts w:ascii="Times New Roman" w:hAnsi="Times New Roman" w:cs="Times New Roman"/>
          <w:sz w:val="24"/>
          <w:szCs w:val="24"/>
        </w:rPr>
        <w:t>;</w:t>
      </w:r>
    </w:p>
    <w:p w:rsidR="009929DE" w:rsidRDefault="009929DE" w:rsidP="009929DE">
      <w:pPr>
        <w:jc w:val="both"/>
        <w:rPr>
          <w:rFonts w:ascii="Times New Roman" w:hAnsi="Times New Roman" w:cs="Times New Roman"/>
          <w:sz w:val="24"/>
          <w:szCs w:val="24"/>
        </w:rPr>
      </w:pPr>
    </w:p>
    <w:p w:rsidR="009929DE" w:rsidRPr="00982FCE" w:rsidRDefault="009929DE" w:rsidP="009929DE">
      <w:pPr>
        <w:jc w:val="both"/>
        <w:rPr>
          <w:rFonts w:ascii="Times New Roman" w:hAnsi="Times New Roman" w:cs="Times New Roman"/>
          <w:sz w:val="24"/>
          <w:szCs w:val="24"/>
        </w:rPr>
      </w:pPr>
      <w:r>
        <w:rPr>
          <w:rFonts w:ascii="Times New Roman" w:hAnsi="Times New Roman" w:cs="Times New Roman"/>
          <w:sz w:val="24"/>
          <w:szCs w:val="24"/>
        </w:rPr>
        <w:t xml:space="preserve">DATO ATTO CHE </w:t>
      </w:r>
      <w:r w:rsidRPr="00982FCE">
        <w:rPr>
          <w:rFonts w:ascii="Times New Roman" w:hAnsi="Times New Roman" w:cs="Times New Roman"/>
          <w:sz w:val="24"/>
          <w:szCs w:val="24"/>
        </w:rPr>
        <w:t xml:space="preserve">è stato predisposto </w:t>
      </w:r>
      <w:r w:rsidRPr="00A562C3">
        <w:rPr>
          <w:rFonts w:ascii="Times New Roman" w:hAnsi="Times New Roman" w:cs="Times New Roman"/>
          <w:sz w:val="24"/>
          <w:szCs w:val="24"/>
        </w:rPr>
        <w:t>il programma degli incarichi di collaborazione autonoma relativo alle annualità di riferime</w:t>
      </w:r>
      <w:r>
        <w:rPr>
          <w:rFonts w:ascii="Times New Roman" w:hAnsi="Times New Roman" w:cs="Times New Roman"/>
          <w:sz w:val="24"/>
          <w:szCs w:val="24"/>
        </w:rPr>
        <w:t>nto del bilancio di previsione</w:t>
      </w:r>
      <w:r w:rsidRPr="00982FCE">
        <w:rPr>
          <w:rFonts w:ascii="Times New Roman" w:hAnsi="Times New Roman" w:cs="Times New Roman"/>
          <w:sz w:val="24"/>
          <w:szCs w:val="24"/>
        </w:rPr>
        <w:t xml:space="preserve">, conformemente a quanto previsto dall’art.3, comma 55, della legge 24 dicembre 2007, n. 244, come sostituito dall’art.46 co.2 D.L.112/2008, </w:t>
      </w:r>
      <w:proofErr w:type="spellStart"/>
      <w:r w:rsidRPr="00982FCE">
        <w:rPr>
          <w:rFonts w:ascii="Times New Roman" w:hAnsi="Times New Roman" w:cs="Times New Roman"/>
          <w:sz w:val="24"/>
          <w:szCs w:val="24"/>
        </w:rPr>
        <w:t>conv</w:t>
      </w:r>
      <w:proofErr w:type="spellEnd"/>
      <w:r w:rsidRPr="00982FCE">
        <w:rPr>
          <w:rFonts w:ascii="Times New Roman" w:hAnsi="Times New Roman" w:cs="Times New Roman"/>
          <w:sz w:val="24"/>
          <w:szCs w:val="24"/>
        </w:rPr>
        <w:t>. in L.133/2008, ai sensi del quale gli enti locali possono stipulare contratti di collaborazione autonoma solo con riferimento alle attività istituzionali stabilite dalla legge o previste nel programma approvato dal Consiglio (</w:t>
      </w:r>
      <w:r w:rsidRPr="00982FCE">
        <w:rPr>
          <w:rFonts w:ascii="Times New Roman" w:hAnsi="Times New Roman" w:cs="Times New Roman"/>
          <w:i/>
          <w:sz w:val="24"/>
          <w:szCs w:val="24"/>
        </w:rPr>
        <w:t>organo</w:t>
      </w:r>
      <w:r w:rsidRPr="00982FCE">
        <w:rPr>
          <w:rFonts w:ascii="Times New Roman" w:hAnsi="Times New Roman" w:cs="Times New Roman"/>
          <w:sz w:val="24"/>
          <w:szCs w:val="24"/>
        </w:rPr>
        <w:t xml:space="preserve"> a</w:t>
      </w:r>
      <w:r w:rsidRPr="00982FCE">
        <w:rPr>
          <w:rFonts w:ascii="Times New Roman" w:hAnsi="Times New Roman" w:cs="Times New Roman"/>
          <w:i/>
          <w:iCs/>
          <w:sz w:val="24"/>
          <w:szCs w:val="24"/>
        </w:rPr>
        <w:t>ssembleare per l’A</w:t>
      </w:r>
      <w:r w:rsidR="005F5F85">
        <w:rPr>
          <w:rFonts w:ascii="Times New Roman" w:hAnsi="Times New Roman" w:cs="Times New Roman"/>
          <w:i/>
          <w:iCs/>
          <w:sz w:val="24"/>
          <w:szCs w:val="24"/>
        </w:rPr>
        <w:t>T</w:t>
      </w:r>
      <w:r w:rsidRPr="00982FCE">
        <w:rPr>
          <w:rFonts w:ascii="Times New Roman" w:hAnsi="Times New Roman" w:cs="Times New Roman"/>
          <w:i/>
          <w:iCs/>
          <w:sz w:val="24"/>
          <w:szCs w:val="24"/>
        </w:rPr>
        <w:t>A</w:t>
      </w:r>
      <w:r w:rsidRPr="00982FCE">
        <w:rPr>
          <w:rFonts w:ascii="Times New Roman" w:hAnsi="Times New Roman" w:cs="Times New Roman"/>
          <w:sz w:val="24"/>
          <w:szCs w:val="24"/>
        </w:rPr>
        <w:t xml:space="preserve">) ai sensi dell'articolo 42, comma 2, del decreto legislativo 18 agosto 2000, n. 267; </w:t>
      </w:r>
    </w:p>
    <w:p w:rsidR="009929DE" w:rsidRDefault="009929DE" w:rsidP="009929DE">
      <w:pPr>
        <w:jc w:val="both"/>
        <w:rPr>
          <w:rFonts w:ascii="Times New Roman" w:hAnsi="Times New Roman" w:cs="Times New Roman"/>
          <w:sz w:val="24"/>
          <w:szCs w:val="24"/>
        </w:rPr>
      </w:pPr>
    </w:p>
    <w:p w:rsidR="009929DE" w:rsidRDefault="009929DE" w:rsidP="009929DE">
      <w:pPr>
        <w:jc w:val="both"/>
        <w:rPr>
          <w:rFonts w:ascii="Times New Roman" w:hAnsi="Times New Roman" w:cs="Times New Roman"/>
          <w:sz w:val="24"/>
          <w:szCs w:val="24"/>
        </w:rPr>
      </w:pPr>
      <w:r>
        <w:rPr>
          <w:rFonts w:ascii="Times New Roman" w:hAnsi="Times New Roman" w:cs="Times New Roman"/>
          <w:sz w:val="24"/>
          <w:szCs w:val="24"/>
        </w:rPr>
        <w:t xml:space="preserve">PRESO ATTO CHE ai sensi dell’art.21-bis del D.L. n.50 del 24.04.2017, </w:t>
      </w:r>
      <w:proofErr w:type="spellStart"/>
      <w:r>
        <w:rPr>
          <w:rFonts w:ascii="Times New Roman" w:hAnsi="Times New Roman" w:cs="Times New Roman"/>
          <w:sz w:val="24"/>
          <w:szCs w:val="24"/>
        </w:rPr>
        <w:t>conv</w:t>
      </w:r>
      <w:proofErr w:type="spellEnd"/>
      <w:r>
        <w:rPr>
          <w:rFonts w:ascii="Times New Roman" w:hAnsi="Times New Roman" w:cs="Times New Roman"/>
          <w:sz w:val="24"/>
          <w:szCs w:val="24"/>
        </w:rPr>
        <w:t>.</w:t>
      </w:r>
      <w:r w:rsidR="0003745B">
        <w:rPr>
          <w:rFonts w:ascii="Times New Roman" w:hAnsi="Times New Roman" w:cs="Times New Roman"/>
          <w:sz w:val="24"/>
          <w:szCs w:val="24"/>
        </w:rPr>
        <w:t xml:space="preserve"> da Legge n.96 del 21.06.2017, </w:t>
      </w:r>
      <w:r>
        <w:rPr>
          <w:rFonts w:ascii="Times New Roman" w:hAnsi="Times New Roman" w:cs="Times New Roman"/>
          <w:sz w:val="24"/>
          <w:szCs w:val="24"/>
        </w:rPr>
        <w:t xml:space="preserve">a decorrere dall’esercizio 2018 ai comuni ed alle loro forme associative che approvano il bilancio preventivo dell’esercizio di riferimento entro il 31 dicembre dell’anno precedente e che hanno rispettato nell’anno precedente il saldo tra entrate finali e spese di cui all’articolo 9 della legge 24 dicembre 2012, n.243 non si applicano alcune delle norme che imponevano limiti puntuali di spesa: art.6 commi 7,8, 9, 13;  </w:t>
      </w:r>
    </w:p>
    <w:p w:rsidR="009929DE" w:rsidRDefault="009929DE" w:rsidP="009929DE">
      <w:pPr>
        <w:jc w:val="both"/>
        <w:rPr>
          <w:rFonts w:ascii="Times New Roman" w:hAnsi="Times New Roman" w:cs="Times New Roman"/>
          <w:sz w:val="24"/>
          <w:szCs w:val="24"/>
        </w:rPr>
      </w:pPr>
    </w:p>
    <w:p w:rsidR="009929DE" w:rsidRDefault="009929DE" w:rsidP="009929DE">
      <w:pPr>
        <w:jc w:val="both"/>
        <w:rPr>
          <w:rFonts w:ascii="Times New Roman" w:hAnsi="Times New Roman" w:cs="Times New Roman"/>
          <w:sz w:val="24"/>
          <w:szCs w:val="24"/>
        </w:rPr>
      </w:pPr>
      <w:r>
        <w:rPr>
          <w:rFonts w:ascii="Times New Roman" w:hAnsi="Times New Roman" w:cs="Times New Roman"/>
          <w:sz w:val="24"/>
          <w:szCs w:val="24"/>
        </w:rPr>
        <w:t>DATO ATTO pertanto che</w:t>
      </w:r>
      <w:r w:rsidR="0003745B">
        <w:rPr>
          <w:rFonts w:ascii="Times New Roman" w:hAnsi="Times New Roman" w:cs="Times New Roman"/>
          <w:sz w:val="24"/>
          <w:szCs w:val="24"/>
        </w:rPr>
        <w:t xml:space="preserve">, non essendo stato </w:t>
      </w:r>
      <w:r>
        <w:rPr>
          <w:rFonts w:ascii="Times New Roman" w:hAnsi="Times New Roman" w:cs="Times New Roman"/>
          <w:sz w:val="24"/>
          <w:szCs w:val="24"/>
        </w:rPr>
        <w:t>approva</w:t>
      </w:r>
      <w:r w:rsidR="0003745B">
        <w:rPr>
          <w:rFonts w:ascii="Times New Roman" w:hAnsi="Times New Roman" w:cs="Times New Roman"/>
          <w:sz w:val="24"/>
          <w:szCs w:val="24"/>
        </w:rPr>
        <w:t>to il</w:t>
      </w:r>
      <w:r>
        <w:rPr>
          <w:rFonts w:ascii="Times New Roman" w:hAnsi="Times New Roman" w:cs="Times New Roman"/>
          <w:sz w:val="24"/>
          <w:szCs w:val="24"/>
        </w:rPr>
        <w:t xml:space="preserve"> bilancio di previsione nei termini di legge</w:t>
      </w:r>
      <w:r w:rsidR="0003745B">
        <w:rPr>
          <w:rFonts w:ascii="Times New Roman" w:hAnsi="Times New Roman" w:cs="Times New Roman"/>
          <w:sz w:val="24"/>
          <w:szCs w:val="24"/>
        </w:rPr>
        <w:t xml:space="preserve"> (31/12/2018)</w:t>
      </w:r>
      <w:r>
        <w:rPr>
          <w:rFonts w:ascii="Times New Roman" w:hAnsi="Times New Roman" w:cs="Times New Roman"/>
          <w:sz w:val="24"/>
          <w:szCs w:val="24"/>
        </w:rPr>
        <w:t>, per l’annualità 201</w:t>
      </w:r>
      <w:r w:rsidR="0003745B">
        <w:rPr>
          <w:rFonts w:ascii="Times New Roman" w:hAnsi="Times New Roman" w:cs="Times New Roman"/>
          <w:sz w:val="24"/>
          <w:szCs w:val="24"/>
        </w:rPr>
        <w:t>9</w:t>
      </w:r>
      <w:r>
        <w:rPr>
          <w:rFonts w:ascii="Times New Roman" w:hAnsi="Times New Roman" w:cs="Times New Roman"/>
          <w:sz w:val="24"/>
          <w:szCs w:val="24"/>
        </w:rPr>
        <w:t xml:space="preserve"> </w:t>
      </w:r>
      <w:r w:rsidR="0003745B">
        <w:rPr>
          <w:rFonts w:ascii="Times New Roman" w:hAnsi="Times New Roman" w:cs="Times New Roman"/>
          <w:sz w:val="24"/>
          <w:szCs w:val="24"/>
        </w:rPr>
        <w:t xml:space="preserve">non </w:t>
      </w:r>
      <w:r>
        <w:rPr>
          <w:rFonts w:ascii="Times New Roman" w:hAnsi="Times New Roman" w:cs="Times New Roman"/>
          <w:sz w:val="24"/>
          <w:szCs w:val="24"/>
        </w:rPr>
        <w:t xml:space="preserve">risulteranno disapplicabili i limiti di spesa stabiliti dall’art.6 del DL 78/2010 e relativi alle seguenti voci:  </w:t>
      </w:r>
    </w:p>
    <w:p w:rsidR="009929DE" w:rsidRDefault="009929DE" w:rsidP="009929DE">
      <w:pPr>
        <w:numPr>
          <w:ilvl w:val="0"/>
          <w:numId w:val="32"/>
        </w:numPr>
        <w:jc w:val="both"/>
        <w:rPr>
          <w:rFonts w:ascii="Times New Roman" w:hAnsi="Times New Roman" w:cs="Times New Roman"/>
          <w:sz w:val="24"/>
          <w:szCs w:val="24"/>
        </w:rPr>
      </w:pPr>
      <w:r>
        <w:rPr>
          <w:rFonts w:ascii="Times New Roman" w:hAnsi="Times New Roman" w:cs="Times New Roman"/>
          <w:sz w:val="24"/>
          <w:szCs w:val="24"/>
        </w:rPr>
        <w:t>spese di rappresentanza (PROGRAMMA 01 - ORGANI ISTITUZIONALI)</w:t>
      </w:r>
    </w:p>
    <w:p w:rsidR="009929DE" w:rsidRDefault="009929DE" w:rsidP="009929DE">
      <w:pPr>
        <w:numPr>
          <w:ilvl w:val="0"/>
          <w:numId w:val="32"/>
        </w:numPr>
        <w:jc w:val="both"/>
        <w:rPr>
          <w:rFonts w:ascii="Times New Roman" w:hAnsi="Times New Roman" w:cs="Times New Roman"/>
          <w:sz w:val="24"/>
          <w:szCs w:val="24"/>
        </w:rPr>
      </w:pPr>
      <w:r>
        <w:rPr>
          <w:rFonts w:ascii="Times New Roman" w:hAnsi="Times New Roman" w:cs="Times New Roman"/>
          <w:sz w:val="24"/>
          <w:szCs w:val="24"/>
        </w:rPr>
        <w:t>spese per studi ed incarichi di consulenza (PROGRAMMA 02 - SEGRETERIA GENERALE)</w:t>
      </w:r>
    </w:p>
    <w:p w:rsidR="009929DE" w:rsidRDefault="009929DE" w:rsidP="009929DE">
      <w:pPr>
        <w:numPr>
          <w:ilvl w:val="0"/>
          <w:numId w:val="32"/>
        </w:numPr>
        <w:jc w:val="both"/>
        <w:rPr>
          <w:rFonts w:ascii="Times New Roman" w:hAnsi="Times New Roman" w:cs="Times New Roman"/>
          <w:sz w:val="24"/>
          <w:szCs w:val="24"/>
        </w:rPr>
      </w:pPr>
      <w:r>
        <w:rPr>
          <w:rFonts w:ascii="Times New Roman" w:hAnsi="Times New Roman" w:cs="Times New Roman"/>
          <w:sz w:val="24"/>
          <w:szCs w:val="24"/>
        </w:rPr>
        <w:t>spese per formazione del personale (PROGRAMMA 10 RISORSE UMANE)</w:t>
      </w:r>
    </w:p>
    <w:p w:rsidR="009929DE" w:rsidRDefault="009929DE" w:rsidP="009929DE">
      <w:pPr>
        <w:jc w:val="both"/>
        <w:rPr>
          <w:rFonts w:ascii="Times New Roman" w:hAnsi="Times New Roman" w:cs="Times New Roman"/>
          <w:sz w:val="24"/>
          <w:szCs w:val="24"/>
        </w:rPr>
      </w:pPr>
    </w:p>
    <w:p w:rsidR="009929DE" w:rsidRDefault="00D804BA" w:rsidP="009929DE">
      <w:pPr>
        <w:jc w:val="both"/>
        <w:rPr>
          <w:rFonts w:ascii="Times New Roman" w:hAnsi="Times New Roman" w:cs="Times New Roman"/>
          <w:sz w:val="24"/>
          <w:szCs w:val="24"/>
        </w:rPr>
      </w:pPr>
      <w:r>
        <w:rPr>
          <w:rFonts w:ascii="Times New Roman" w:hAnsi="Times New Roman" w:cs="Times New Roman"/>
          <w:sz w:val="24"/>
          <w:szCs w:val="24"/>
        </w:rPr>
        <w:t xml:space="preserve">e che in ogni caso </w:t>
      </w:r>
      <w:r w:rsidR="009929DE">
        <w:rPr>
          <w:rFonts w:ascii="Times New Roman" w:hAnsi="Times New Roman" w:cs="Times New Roman"/>
          <w:sz w:val="24"/>
          <w:szCs w:val="24"/>
        </w:rPr>
        <w:t xml:space="preserve">restano confermati i limiti di spesa relativi alle seguenti voci, in applicazione dell’art.6 commi </w:t>
      </w:r>
      <w:r w:rsidR="00CF65A1">
        <w:rPr>
          <w:rFonts w:ascii="Times New Roman" w:hAnsi="Times New Roman" w:cs="Times New Roman"/>
          <w:sz w:val="24"/>
          <w:szCs w:val="24"/>
        </w:rPr>
        <w:t>3</w:t>
      </w:r>
      <w:r w:rsidR="009929DE">
        <w:rPr>
          <w:rFonts w:ascii="Times New Roman" w:hAnsi="Times New Roman" w:cs="Times New Roman"/>
          <w:sz w:val="24"/>
          <w:szCs w:val="24"/>
        </w:rPr>
        <w:t xml:space="preserve"> e </w:t>
      </w:r>
      <w:r w:rsidR="00CF65A1">
        <w:rPr>
          <w:rFonts w:ascii="Times New Roman" w:hAnsi="Times New Roman" w:cs="Times New Roman"/>
          <w:sz w:val="24"/>
          <w:szCs w:val="24"/>
        </w:rPr>
        <w:t>12</w:t>
      </w:r>
      <w:r w:rsidR="009929DE">
        <w:rPr>
          <w:rFonts w:ascii="Times New Roman" w:hAnsi="Times New Roman" w:cs="Times New Roman"/>
          <w:sz w:val="24"/>
          <w:szCs w:val="24"/>
        </w:rPr>
        <w:t xml:space="preserve"> del DL 78/2010: </w:t>
      </w:r>
    </w:p>
    <w:p w:rsidR="009929DE" w:rsidRDefault="009929DE" w:rsidP="009929DE">
      <w:pPr>
        <w:numPr>
          <w:ilvl w:val="0"/>
          <w:numId w:val="33"/>
        </w:numPr>
        <w:jc w:val="both"/>
        <w:rPr>
          <w:rFonts w:ascii="Times New Roman" w:hAnsi="Times New Roman" w:cs="Times New Roman"/>
          <w:sz w:val="24"/>
          <w:szCs w:val="24"/>
        </w:rPr>
      </w:pPr>
      <w:r>
        <w:rPr>
          <w:rFonts w:ascii="Times New Roman" w:hAnsi="Times New Roman" w:cs="Times New Roman"/>
          <w:sz w:val="24"/>
          <w:szCs w:val="24"/>
        </w:rPr>
        <w:t>spese per missioni del personale (PROGRAMMA 02 - SEGRETERIA GENERALE)</w:t>
      </w:r>
    </w:p>
    <w:p w:rsidR="009929DE" w:rsidRDefault="009929DE" w:rsidP="009929DE">
      <w:pPr>
        <w:numPr>
          <w:ilvl w:val="0"/>
          <w:numId w:val="33"/>
        </w:numPr>
        <w:jc w:val="both"/>
        <w:rPr>
          <w:rFonts w:ascii="Times New Roman" w:hAnsi="Times New Roman" w:cs="Times New Roman"/>
          <w:sz w:val="24"/>
          <w:szCs w:val="24"/>
        </w:rPr>
      </w:pPr>
      <w:r>
        <w:rPr>
          <w:rFonts w:ascii="Times New Roman" w:hAnsi="Times New Roman" w:cs="Times New Roman"/>
          <w:sz w:val="24"/>
          <w:szCs w:val="24"/>
        </w:rPr>
        <w:t>spese per compensi ai componenti di organi di controllo (organo di revisione) (PROGRAMMA 03 – GESTIONE ECONOMICA, FINANZIARIA)</w:t>
      </w:r>
    </w:p>
    <w:p w:rsidR="00F83DBB" w:rsidRDefault="00F83DBB" w:rsidP="00F83DBB">
      <w:pPr>
        <w:jc w:val="both"/>
        <w:rPr>
          <w:rFonts w:ascii="Times New Roman" w:hAnsi="Times New Roman" w:cs="Times New Roman"/>
          <w:sz w:val="24"/>
          <w:szCs w:val="24"/>
        </w:rPr>
      </w:pPr>
    </w:p>
    <w:p w:rsidR="009929DE" w:rsidRDefault="009929DE" w:rsidP="009929DE">
      <w:pPr>
        <w:jc w:val="both"/>
        <w:rPr>
          <w:rFonts w:ascii="Times New Roman" w:hAnsi="Times New Roman" w:cs="Times New Roman"/>
          <w:sz w:val="24"/>
          <w:szCs w:val="24"/>
        </w:rPr>
      </w:pPr>
      <w:r>
        <w:rPr>
          <w:rFonts w:ascii="Times New Roman" w:hAnsi="Times New Roman" w:cs="Times New Roman"/>
          <w:sz w:val="24"/>
          <w:szCs w:val="24"/>
        </w:rPr>
        <w:t xml:space="preserve">CONSIDERATO CHE restano comunque vigenti le disposizioni di contenimento della spesa pubblica relativamente </w:t>
      </w:r>
      <w:proofErr w:type="gramStart"/>
      <w:r>
        <w:rPr>
          <w:rFonts w:ascii="Times New Roman" w:hAnsi="Times New Roman" w:cs="Times New Roman"/>
          <w:sz w:val="24"/>
          <w:szCs w:val="24"/>
        </w:rPr>
        <w:t>agli  incarichi</w:t>
      </w:r>
      <w:proofErr w:type="gramEnd"/>
      <w:r>
        <w:rPr>
          <w:rFonts w:ascii="Times New Roman" w:hAnsi="Times New Roman" w:cs="Times New Roman"/>
          <w:sz w:val="24"/>
          <w:szCs w:val="24"/>
        </w:rPr>
        <w:t xml:space="preserve"> di collaborazione autonoma e relativamente alle spese di rappresentanza precedenti il DL78/2010; </w:t>
      </w:r>
    </w:p>
    <w:p w:rsidR="009929DE" w:rsidRDefault="009929DE" w:rsidP="009929DE">
      <w:pPr>
        <w:jc w:val="both"/>
        <w:rPr>
          <w:rFonts w:ascii="Times New Roman" w:hAnsi="Times New Roman" w:cs="Times New Roman"/>
          <w:sz w:val="24"/>
          <w:szCs w:val="24"/>
        </w:rPr>
      </w:pPr>
    </w:p>
    <w:p w:rsidR="009929DE" w:rsidRPr="00982FCE" w:rsidRDefault="009929DE" w:rsidP="009929DE">
      <w:pPr>
        <w:jc w:val="both"/>
        <w:rPr>
          <w:rFonts w:ascii="Times New Roman" w:hAnsi="Times New Roman" w:cs="Times New Roman"/>
          <w:sz w:val="24"/>
          <w:szCs w:val="24"/>
        </w:rPr>
      </w:pPr>
      <w:r w:rsidRPr="00982FCE">
        <w:rPr>
          <w:rFonts w:ascii="Times New Roman" w:hAnsi="Times New Roman" w:cs="Times New Roman"/>
          <w:sz w:val="24"/>
          <w:szCs w:val="24"/>
        </w:rPr>
        <w:t xml:space="preserve">RITENUTO NECESSARIO </w:t>
      </w:r>
      <w:r>
        <w:rPr>
          <w:rFonts w:ascii="Times New Roman" w:hAnsi="Times New Roman" w:cs="Times New Roman"/>
          <w:sz w:val="24"/>
          <w:szCs w:val="24"/>
        </w:rPr>
        <w:t xml:space="preserve">pertanto </w:t>
      </w:r>
      <w:r w:rsidRPr="00982FCE">
        <w:rPr>
          <w:rFonts w:ascii="Times New Roman" w:hAnsi="Times New Roman" w:cs="Times New Roman"/>
          <w:sz w:val="24"/>
          <w:szCs w:val="24"/>
        </w:rPr>
        <w:t xml:space="preserve">individuare il limite di spesa annuale per gli incarichi di collaborazione autonoma, ai sensi dell’art.3, co.56, della legge 24 dicembre 2007, n. 244, come sostituito dall’art.46 co.3 D.L.112/2008, </w:t>
      </w:r>
      <w:proofErr w:type="spellStart"/>
      <w:r w:rsidRPr="00982FCE">
        <w:rPr>
          <w:rFonts w:ascii="Times New Roman" w:hAnsi="Times New Roman" w:cs="Times New Roman"/>
          <w:sz w:val="24"/>
          <w:szCs w:val="24"/>
        </w:rPr>
        <w:t>conv</w:t>
      </w:r>
      <w:proofErr w:type="spellEnd"/>
      <w:r w:rsidRPr="00982FCE">
        <w:rPr>
          <w:rFonts w:ascii="Times New Roman" w:hAnsi="Times New Roman" w:cs="Times New Roman"/>
          <w:sz w:val="24"/>
          <w:szCs w:val="24"/>
        </w:rPr>
        <w:t xml:space="preserve">. in Legge n.133/2008: </w:t>
      </w:r>
      <w:proofErr w:type="gramStart"/>
      <w:r w:rsidRPr="00982FCE">
        <w:rPr>
          <w:rFonts w:ascii="Times New Roman" w:hAnsi="Times New Roman" w:cs="Times New Roman"/>
          <w:sz w:val="24"/>
          <w:szCs w:val="24"/>
        </w:rPr>
        <w:t>«….</w:t>
      </w:r>
      <w:proofErr w:type="gramEnd"/>
      <w:r w:rsidRPr="00982FCE">
        <w:rPr>
          <w:rFonts w:ascii="Times New Roman" w:hAnsi="Times New Roman" w:cs="Times New Roman"/>
          <w:sz w:val="24"/>
          <w:szCs w:val="24"/>
        </w:rPr>
        <w:t xml:space="preserve">. </w:t>
      </w:r>
      <w:r w:rsidRPr="00982FCE">
        <w:rPr>
          <w:rFonts w:ascii="Times New Roman" w:hAnsi="Times New Roman" w:cs="Times New Roman"/>
          <w:i/>
          <w:iCs/>
          <w:sz w:val="24"/>
          <w:szCs w:val="24"/>
        </w:rPr>
        <w:t>Il limite massimo della spesa annua per incarichi di collaborazione è fissato nel bilancio preventivo degli enti territoriali</w:t>
      </w:r>
      <w:r w:rsidR="00F83DBB">
        <w:rPr>
          <w:rFonts w:ascii="Times New Roman" w:hAnsi="Times New Roman" w:cs="Times New Roman"/>
          <w:sz w:val="24"/>
          <w:szCs w:val="24"/>
        </w:rPr>
        <w:t>», rinviando a tal fine a quanto riportato nel programma allegato alla presente;</w:t>
      </w:r>
    </w:p>
    <w:p w:rsidR="009929DE" w:rsidRPr="00982FCE" w:rsidRDefault="009929DE" w:rsidP="009929DE">
      <w:pPr>
        <w:jc w:val="both"/>
        <w:rPr>
          <w:rFonts w:ascii="Times New Roman" w:hAnsi="Times New Roman" w:cs="Times New Roman"/>
          <w:sz w:val="24"/>
          <w:szCs w:val="24"/>
        </w:rPr>
      </w:pPr>
    </w:p>
    <w:p w:rsidR="00D804BA" w:rsidRPr="00982FCE" w:rsidRDefault="00D804BA" w:rsidP="00D804BA">
      <w:pPr>
        <w:jc w:val="both"/>
        <w:rPr>
          <w:rFonts w:ascii="Times New Roman" w:hAnsi="Times New Roman" w:cs="Times New Roman"/>
          <w:sz w:val="24"/>
          <w:szCs w:val="24"/>
        </w:rPr>
      </w:pPr>
      <w:r w:rsidRPr="00982FCE">
        <w:rPr>
          <w:rFonts w:ascii="Times New Roman" w:hAnsi="Times New Roman" w:cs="Times New Roman"/>
          <w:sz w:val="24"/>
          <w:szCs w:val="24"/>
        </w:rPr>
        <w:t>RITENUTO di non dover procedere ad effettuare un accantonamento al fondo crediti di dubbia es</w:t>
      </w:r>
      <w:r>
        <w:rPr>
          <w:rFonts w:ascii="Times New Roman" w:hAnsi="Times New Roman" w:cs="Times New Roman"/>
          <w:sz w:val="24"/>
          <w:szCs w:val="24"/>
        </w:rPr>
        <w:t xml:space="preserve">igibilità, in quanto l’analisi del bilancio non ha evidenziato categorie di entrate che possano dare luogo a crediti di dubbia esigibilità e difficile esazione, come meglio illustrato nella nota integrativa al bilancio; </w:t>
      </w:r>
    </w:p>
    <w:p w:rsidR="009929DE" w:rsidRPr="00982FCE" w:rsidRDefault="009929DE" w:rsidP="009929DE">
      <w:pPr>
        <w:jc w:val="both"/>
        <w:rPr>
          <w:rFonts w:ascii="Times New Roman" w:hAnsi="Times New Roman" w:cs="Times New Roman"/>
          <w:sz w:val="24"/>
          <w:szCs w:val="24"/>
        </w:rPr>
      </w:pPr>
    </w:p>
    <w:p w:rsidR="009929DE" w:rsidRPr="00982FCE" w:rsidRDefault="009929DE" w:rsidP="009929DE">
      <w:pPr>
        <w:jc w:val="both"/>
        <w:rPr>
          <w:rFonts w:ascii="Times New Roman" w:hAnsi="Times New Roman" w:cs="Times New Roman"/>
          <w:sz w:val="24"/>
          <w:szCs w:val="24"/>
        </w:rPr>
      </w:pPr>
      <w:r w:rsidRPr="00982FCE">
        <w:rPr>
          <w:rFonts w:ascii="Times New Roman" w:hAnsi="Times New Roman" w:cs="Times New Roman"/>
          <w:sz w:val="24"/>
          <w:szCs w:val="24"/>
        </w:rPr>
        <w:t>VISTI</w:t>
      </w:r>
    </w:p>
    <w:p w:rsidR="00D804BA" w:rsidRDefault="009929DE" w:rsidP="009929DE">
      <w:pPr>
        <w:jc w:val="both"/>
        <w:rPr>
          <w:rFonts w:ascii="Times New Roman" w:hAnsi="Times New Roman" w:cs="Times New Roman"/>
          <w:sz w:val="24"/>
          <w:szCs w:val="24"/>
        </w:rPr>
      </w:pPr>
      <w:r>
        <w:rPr>
          <w:rFonts w:ascii="Times New Roman" w:hAnsi="Times New Roman" w:cs="Times New Roman"/>
          <w:sz w:val="24"/>
          <w:szCs w:val="24"/>
        </w:rPr>
        <w:t>- la L.R. n.</w:t>
      </w:r>
      <w:r w:rsidR="00997A25">
        <w:rPr>
          <w:rFonts w:ascii="Times New Roman" w:hAnsi="Times New Roman" w:cs="Times New Roman"/>
          <w:sz w:val="24"/>
          <w:szCs w:val="24"/>
        </w:rPr>
        <w:t>24/2009</w:t>
      </w:r>
      <w:r>
        <w:rPr>
          <w:rFonts w:ascii="Times New Roman" w:hAnsi="Times New Roman" w:cs="Times New Roman"/>
          <w:sz w:val="24"/>
          <w:szCs w:val="24"/>
        </w:rPr>
        <w:t>;</w:t>
      </w:r>
      <w:r w:rsidRPr="00982FCE">
        <w:rPr>
          <w:rFonts w:ascii="Times New Roman" w:hAnsi="Times New Roman" w:cs="Times New Roman"/>
          <w:sz w:val="24"/>
          <w:szCs w:val="24"/>
        </w:rPr>
        <w:t xml:space="preserve"> </w:t>
      </w:r>
    </w:p>
    <w:p w:rsidR="009929DE" w:rsidRPr="00982FCE" w:rsidRDefault="00D804BA" w:rsidP="009929DE">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929DE" w:rsidRPr="00982FCE">
        <w:rPr>
          <w:rFonts w:ascii="Times New Roman" w:hAnsi="Times New Roman" w:cs="Times New Roman"/>
          <w:sz w:val="24"/>
          <w:szCs w:val="24"/>
        </w:rPr>
        <w:t xml:space="preserve">il </w:t>
      </w:r>
      <w:proofErr w:type="spellStart"/>
      <w:proofErr w:type="gramStart"/>
      <w:r w:rsidR="009929DE" w:rsidRPr="00982FCE">
        <w:rPr>
          <w:rFonts w:ascii="Times New Roman" w:hAnsi="Times New Roman" w:cs="Times New Roman"/>
          <w:sz w:val="24"/>
          <w:szCs w:val="24"/>
        </w:rPr>
        <w:t>D.Lgs</w:t>
      </w:r>
      <w:proofErr w:type="spellEnd"/>
      <w:proofErr w:type="gramEnd"/>
      <w:r w:rsidR="009929DE" w:rsidRPr="00982FCE">
        <w:rPr>
          <w:rFonts w:ascii="Times New Roman" w:hAnsi="Times New Roman" w:cs="Times New Roman"/>
          <w:sz w:val="24"/>
          <w:szCs w:val="24"/>
        </w:rPr>
        <w:t xml:space="preserve"> n.267 del 18 agosto 2000 - T.U.E.L. come modificato dal D.Lgs.118/2011 e dal </w:t>
      </w:r>
      <w:proofErr w:type="spellStart"/>
      <w:r w:rsidR="009929DE" w:rsidRPr="00982FCE">
        <w:rPr>
          <w:rFonts w:ascii="Times New Roman" w:hAnsi="Times New Roman" w:cs="Times New Roman"/>
          <w:sz w:val="24"/>
          <w:szCs w:val="24"/>
        </w:rPr>
        <w:t>D.Lgs.</w:t>
      </w:r>
      <w:proofErr w:type="spellEnd"/>
      <w:r w:rsidR="009929DE" w:rsidRPr="00982FCE">
        <w:rPr>
          <w:rFonts w:ascii="Times New Roman" w:hAnsi="Times New Roman" w:cs="Times New Roman"/>
          <w:sz w:val="24"/>
          <w:szCs w:val="24"/>
        </w:rPr>
        <w:t xml:space="preserve"> n.126/2014;</w:t>
      </w:r>
    </w:p>
    <w:p w:rsidR="009929DE" w:rsidRPr="00982FCE" w:rsidRDefault="009929DE" w:rsidP="009929DE">
      <w:pPr>
        <w:jc w:val="both"/>
        <w:rPr>
          <w:rFonts w:ascii="Times New Roman" w:hAnsi="Times New Roman" w:cs="Times New Roman"/>
          <w:sz w:val="24"/>
          <w:szCs w:val="24"/>
        </w:rPr>
      </w:pPr>
      <w:r w:rsidRPr="00982FCE">
        <w:rPr>
          <w:rFonts w:ascii="Times New Roman" w:hAnsi="Times New Roman" w:cs="Times New Roman"/>
          <w:sz w:val="24"/>
          <w:szCs w:val="24"/>
        </w:rPr>
        <w:t xml:space="preserve">- il </w:t>
      </w:r>
      <w:proofErr w:type="gramStart"/>
      <w:r w:rsidRPr="00982FCE">
        <w:rPr>
          <w:rFonts w:ascii="Times New Roman" w:hAnsi="Times New Roman" w:cs="Times New Roman"/>
          <w:sz w:val="24"/>
          <w:szCs w:val="24"/>
        </w:rPr>
        <w:t>D.Lgs</w:t>
      </w:r>
      <w:proofErr w:type="gramEnd"/>
      <w:r w:rsidRPr="00982FCE">
        <w:rPr>
          <w:rFonts w:ascii="Times New Roman" w:hAnsi="Times New Roman" w:cs="Times New Roman"/>
          <w:sz w:val="24"/>
          <w:szCs w:val="24"/>
        </w:rPr>
        <w:t xml:space="preserve">.118/2011 come modificato dal </w:t>
      </w:r>
      <w:proofErr w:type="spellStart"/>
      <w:r w:rsidRPr="00982FCE">
        <w:rPr>
          <w:rFonts w:ascii="Times New Roman" w:hAnsi="Times New Roman" w:cs="Times New Roman"/>
          <w:sz w:val="24"/>
          <w:szCs w:val="24"/>
        </w:rPr>
        <w:t>D.Lgs.</w:t>
      </w:r>
      <w:proofErr w:type="spellEnd"/>
      <w:r w:rsidRPr="00982FCE">
        <w:rPr>
          <w:rFonts w:ascii="Times New Roman" w:hAnsi="Times New Roman" w:cs="Times New Roman"/>
          <w:sz w:val="24"/>
          <w:szCs w:val="24"/>
        </w:rPr>
        <w:t xml:space="preserve"> n.126/2014;</w:t>
      </w:r>
    </w:p>
    <w:p w:rsidR="009929DE" w:rsidRPr="00982FCE" w:rsidRDefault="009929DE" w:rsidP="009929DE">
      <w:pPr>
        <w:jc w:val="both"/>
        <w:rPr>
          <w:rFonts w:ascii="Times New Roman" w:hAnsi="Times New Roman" w:cs="Times New Roman"/>
          <w:sz w:val="24"/>
          <w:szCs w:val="24"/>
        </w:rPr>
      </w:pPr>
      <w:r w:rsidRPr="00982FCE">
        <w:rPr>
          <w:rFonts w:ascii="Times New Roman" w:hAnsi="Times New Roman" w:cs="Times New Roman"/>
          <w:sz w:val="24"/>
          <w:szCs w:val="24"/>
        </w:rPr>
        <w:t xml:space="preserve">- l’art 3, co.55 e co.56 della L.244/2007, come modificato dall’art.46 co2 e co.3, del D.L.112/2008, </w:t>
      </w:r>
      <w:proofErr w:type="spellStart"/>
      <w:r w:rsidRPr="00982FCE">
        <w:rPr>
          <w:rFonts w:ascii="Times New Roman" w:hAnsi="Times New Roman" w:cs="Times New Roman"/>
          <w:sz w:val="24"/>
          <w:szCs w:val="24"/>
        </w:rPr>
        <w:t>conv</w:t>
      </w:r>
      <w:proofErr w:type="spellEnd"/>
      <w:r w:rsidRPr="00982FCE">
        <w:rPr>
          <w:rFonts w:ascii="Times New Roman" w:hAnsi="Times New Roman" w:cs="Times New Roman"/>
          <w:sz w:val="24"/>
          <w:szCs w:val="24"/>
        </w:rPr>
        <w:t>. in Legge n.133 del 06/08/2008;</w:t>
      </w:r>
    </w:p>
    <w:p w:rsidR="009929DE" w:rsidRPr="00982FCE" w:rsidRDefault="009929DE" w:rsidP="009929DE">
      <w:pPr>
        <w:jc w:val="both"/>
        <w:rPr>
          <w:rFonts w:ascii="Times New Roman" w:hAnsi="Times New Roman" w:cs="Times New Roman"/>
          <w:sz w:val="24"/>
          <w:szCs w:val="24"/>
        </w:rPr>
      </w:pPr>
      <w:r w:rsidRPr="00982FCE">
        <w:rPr>
          <w:rFonts w:ascii="Times New Roman" w:hAnsi="Times New Roman" w:cs="Times New Roman"/>
          <w:sz w:val="24"/>
          <w:szCs w:val="24"/>
        </w:rPr>
        <w:t xml:space="preserve">- le disposizioni contenute nella legge 30 luglio 2010 n. 122 che ha convertito con modificazioni il D.L. 31 maggio 2010 n. </w:t>
      </w:r>
      <w:proofErr w:type="gramStart"/>
      <w:r w:rsidRPr="00982FCE">
        <w:rPr>
          <w:rFonts w:ascii="Times New Roman" w:hAnsi="Times New Roman" w:cs="Times New Roman"/>
          <w:sz w:val="24"/>
          <w:szCs w:val="24"/>
        </w:rPr>
        <w:t>78 ”Misure</w:t>
      </w:r>
      <w:proofErr w:type="gramEnd"/>
      <w:r w:rsidRPr="00982FCE">
        <w:rPr>
          <w:rFonts w:ascii="Times New Roman" w:hAnsi="Times New Roman" w:cs="Times New Roman"/>
          <w:sz w:val="24"/>
          <w:szCs w:val="24"/>
        </w:rPr>
        <w:t xml:space="preserve"> urgenti in materia di stabilizzazione finanziaria e di competitività economica”;</w:t>
      </w:r>
    </w:p>
    <w:p w:rsidR="009929DE" w:rsidRDefault="009929DE" w:rsidP="009929DE">
      <w:pPr>
        <w:jc w:val="both"/>
        <w:rPr>
          <w:rFonts w:ascii="Times New Roman" w:hAnsi="Times New Roman" w:cs="Times New Roman"/>
          <w:sz w:val="24"/>
          <w:szCs w:val="24"/>
        </w:rPr>
      </w:pPr>
      <w:r w:rsidRPr="00982FCE">
        <w:rPr>
          <w:rFonts w:ascii="Times New Roman" w:hAnsi="Times New Roman" w:cs="Times New Roman"/>
          <w:sz w:val="24"/>
          <w:szCs w:val="24"/>
        </w:rPr>
        <w:t xml:space="preserve">- le disposizioni contenute nel D.L. 101/2013, convertito con modificazioni </w:t>
      </w:r>
      <w:proofErr w:type="gramStart"/>
      <w:r w:rsidRPr="00982FCE">
        <w:rPr>
          <w:rFonts w:ascii="Times New Roman" w:hAnsi="Times New Roman" w:cs="Times New Roman"/>
          <w:sz w:val="24"/>
          <w:szCs w:val="24"/>
        </w:rPr>
        <w:t>dalla  Legge</w:t>
      </w:r>
      <w:proofErr w:type="gramEnd"/>
      <w:r w:rsidRPr="00982FCE">
        <w:rPr>
          <w:rFonts w:ascii="Times New Roman" w:hAnsi="Times New Roman" w:cs="Times New Roman"/>
          <w:sz w:val="24"/>
          <w:szCs w:val="24"/>
        </w:rPr>
        <w:t xml:space="preserve"> 30 ottobre 2013, n. 125; </w:t>
      </w:r>
    </w:p>
    <w:p w:rsidR="009929DE" w:rsidRPr="00982FCE" w:rsidRDefault="009929DE" w:rsidP="009929DE">
      <w:pPr>
        <w:jc w:val="both"/>
        <w:rPr>
          <w:rFonts w:ascii="Times New Roman" w:hAnsi="Times New Roman" w:cs="Times New Roman"/>
          <w:sz w:val="24"/>
          <w:szCs w:val="24"/>
        </w:rPr>
      </w:pPr>
      <w:r>
        <w:rPr>
          <w:rFonts w:ascii="Times New Roman" w:hAnsi="Times New Roman" w:cs="Times New Roman"/>
          <w:sz w:val="24"/>
          <w:szCs w:val="24"/>
        </w:rPr>
        <w:t xml:space="preserve">- l’art.21-bis del D.L. n.50 del 24.04.2017, </w:t>
      </w:r>
      <w:proofErr w:type="spellStart"/>
      <w:r>
        <w:rPr>
          <w:rFonts w:ascii="Times New Roman" w:hAnsi="Times New Roman" w:cs="Times New Roman"/>
          <w:sz w:val="24"/>
          <w:szCs w:val="24"/>
        </w:rPr>
        <w:t>conv</w:t>
      </w:r>
      <w:proofErr w:type="spellEnd"/>
      <w:r>
        <w:rPr>
          <w:rFonts w:ascii="Times New Roman" w:hAnsi="Times New Roman" w:cs="Times New Roman"/>
          <w:sz w:val="24"/>
          <w:szCs w:val="24"/>
        </w:rPr>
        <w:t>. da Legge n.96 del 21.06.2017;</w:t>
      </w:r>
    </w:p>
    <w:p w:rsidR="009929DE" w:rsidRPr="00982FCE" w:rsidRDefault="009929DE" w:rsidP="009929DE">
      <w:pPr>
        <w:jc w:val="both"/>
        <w:rPr>
          <w:rFonts w:ascii="Times New Roman" w:hAnsi="Times New Roman" w:cs="Times New Roman"/>
          <w:sz w:val="24"/>
          <w:szCs w:val="24"/>
        </w:rPr>
      </w:pPr>
    </w:p>
    <w:p w:rsidR="009929DE" w:rsidRPr="00982FCE" w:rsidRDefault="009929DE" w:rsidP="009929DE">
      <w:pPr>
        <w:jc w:val="both"/>
        <w:rPr>
          <w:rFonts w:ascii="Times New Roman" w:hAnsi="Times New Roman" w:cs="Times New Roman"/>
          <w:sz w:val="24"/>
          <w:szCs w:val="24"/>
        </w:rPr>
      </w:pPr>
      <w:r w:rsidRPr="00982FCE">
        <w:rPr>
          <w:rFonts w:ascii="Times New Roman" w:hAnsi="Times New Roman" w:cs="Times New Roman"/>
          <w:sz w:val="24"/>
          <w:szCs w:val="24"/>
        </w:rPr>
        <w:t xml:space="preserve">VISTI i pareri in ordine alla regolarità </w:t>
      </w:r>
      <w:r>
        <w:rPr>
          <w:rFonts w:ascii="Times New Roman" w:hAnsi="Times New Roman" w:cs="Times New Roman"/>
          <w:sz w:val="24"/>
          <w:szCs w:val="24"/>
        </w:rPr>
        <w:t>tecnica e co</w:t>
      </w:r>
      <w:r w:rsidR="00997A25">
        <w:rPr>
          <w:rFonts w:ascii="Times New Roman" w:hAnsi="Times New Roman" w:cs="Times New Roman"/>
          <w:sz w:val="24"/>
          <w:szCs w:val="24"/>
        </w:rPr>
        <w:t>ntabile espressi dal</w:t>
      </w:r>
      <w:r w:rsidRPr="00982FCE">
        <w:rPr>
          <w:rFonts w:ascii="Times New Roman" w:hAnsi="Times New Roman" w:cs="Times New Roman"/>
          <w:sz w:val="24"/>
          <w:szCs w:val="24"/>
        </w:rPr>
        <w:t xml:space="preserve"> soggett</w:t>
      </w:r>
      <w:r w:rsidR="00997A25">
        <w:rPr>
          <w:rFonts w:ascii="Times New Roman" w:hAnsi="Times New Roman" w:cs="Times New Roman"/>
          <w:sz w:val="24"/>
          <w:szCs w:val="24"/>
        </w:rPr>
        <w:t>o</w:t>
      </w:r>
      <w:r w:rsidRPr="00982FCE">
        <w:rPr>
          <w:rFonts w:ascii="Times New Roman" w:hAnsi="Times New Roman" w:cs="Times New Roman"/>
          <w:sz w:val="24"/>
          <w:szCs w:val="24"/>
        </w:rPr>
        <w:t xml:space="preserve"> competent</w:t>
      </w:r>
      <w:r w:rsidR="00997A25">
        <w:rPr>
          <w:rFonts w:ascii="Times New Roman" w:hAnsi="Times New Roman" w:cs="Times New Roman"/>
          <w:sz w:val="24"/>
          <w:szCs w:val="24"/>
        </w:rPr>
        <w:t>e</w:t>
      </w:r>
      <w:r w:rsidRPr="00982FCE">
        <w:rPr>
          <w:rFonts w:ascii="Times New Roman" w:hAnsi="Times New Roman" w:cs="Times New Roman"/>
          <w:sz w:val="24"/>
          <w:szCs w:val="24"/>
        </w:rPr>
        <w:t>, ai sensi dell’art. 49 del Decreto Le</w:t>
      </w:r>
      <w:r>
        <w:rPr>
          <w:rFonts w:ascii="Times New Roman" w:hAnsi="Times New Roman" w:cs="Times New Roman"/>
          <w:sz w:val="24"/>
          <w:szCs w:val="24"/>
        </w:rPr>
        <w:t xml:space="preserve">gislativo 18 </w:t>
      </w:r>
      <w:proofErr w:type="gramStart"/>
      <w:r>
        <w:rPr>
          <w:rFonts w:ascii="Times New Roman" w:hAnsi="Times New Roman" w:cs="Times New Roman"/>
          <w:sz w:val="24"/>
          <w:szCs w:val="24"/>
        </w:rPr>
        <w:t>Agosto</w:t>
      </w:r>
      <w:proofErr w:type="gramEnd"/>
      <w:r>
        <w:rPr>
          <w:rFonts w:ascii="Times New Roman" w:hAnsi="Times New Roman" w:cs="Times New Roman"/>
          <w:sz w:val="24"/>
          <w:szCs w:val="24"/>
        </w:rPr>
        <w:t xml:space="preserve"> 2000, n.267;</w:t>
      </w:r>
    </w:p>
    <w:p w:rsidR="009929DE" w:rsidRDefault="009929DE" w:rsidP="009929DE">
      <w:pPr>
        <w:jc w:val="both"/>
        <w:rPr>
          <w:rFonts w:ascii="Times New Roman" w:hAnsi="Times New Roman" w:cs="Times New Roman"/>
          <w:sz w:val="24"/>
          <w:szCs w:val="24"/>
        </w:rPr>
      </w:pPr>
    </w:p>
    <w:p w:rsidR="009929DE" w:rsidRPr="00982FCE" w:rsidRDefault="009929DE" w:rsidP="009929DE">
      <w:pPr>
        <w:jc w:val="both"/>
        <w:rPr>
          <w:rFonts w:ascii="Times New Roman" w:hAnsi="Times New Roman" w:cs="Times New Roman"/>
          <w:sz w:val="24"/>
          <w:szCs w:val="24"/>
        </w:rPr>
      </w:pPr>
      <w:r w:rsidRPr="00982FCE">
        <w:rPr>
          <w:rFonts w:ascii="Times New Roman" w:hAnsi="Times New Roman" w:cs="Times New Roman"/>
          <w:sz w:val="24"/>
          <w:szCs w:val="24"/>
        </w:rPr>
        <w:t xml:space="preserve">Tutto ciò premesso, </w:t>
      </w:r>
    </w:p>
    <w:p w:rsidR="009929DE" w:rsidRPr="00982FCE" w:rsidRDefault="009929DE" w:rsidP="009929DE">
      <w:pPr>
        <w:jc w:val="both"/>
        <w:rPr>
          <w:rFonts w:ascii="Times New Roman" w:hAnsi="Times New Roman" w:cs="Times New Roman"/>
          <w:sz w:val="24"/>
          <w:szCs w:val="24"/>
        </w:rPr>
      </w:pPr>
    </w:p>
    <w:p w:rsidR="009929DE" w:rsidRPr="00982FCE" w:rsidRDefault="009929DE" w:rsidP="009929DE">
      <w:pPr>
        <w:jc w:val="center"/>
        <w:rPr>
          <w:rFonts w:ascii="Times New Roman" w:hAnsi="Times New Roman" w:cs="Times New Roman"/>
          <w:sz w:val="24"/>
          <w:szCs w:val="24"/>
        </w:rPr>
      </w:pPr>
      <w:r w:rsidRPr="00982FCE">
        <w:rPr>
          <w:rFonts w:ascii="Times New Roman" w:hAnsi="Times New Roman" w:cs="Times New Roman"/>
          <w:sz w:val="24"/>
          <w:szCs w:val="24"/>
        </w:rPr>
        <w:t>PROPONE</w:t>
      </w:r>
    </w:p>
    <w:p w:rsidR="009929DE" w:rsidRPr="00982FCE" w:rsidRDefault="009929DE" w:rsidP="009929DE">
      <w:pPr>
        <w:jc w:val="center"/>
        <w:rPr>
          <w:rFonts w:ascii="Times New Roman" w:hAnsi="Times New Roman" w:cs="Times New Roman"/>
          <w:sz w:val="24"/>
          <w:szCs w:val="24"/>
        </w:rPr>
      </w:pPr>
    </w:p>
    <w:p w:rsidR="009929DE" w:rsidRPr="00982FCE" w:rsidRDefault="009929DE" w:rsidP="009929DE">
      <w:pPr>
        <w:numPr>
          <w:ilvl w:val="0"/>
          <w:numId w:val="26"/>
        </w:numPr>
        <w:ind w:left="714" w:hanging="357"/>
        <w:jc w:val="both"/>
        <w:rPr>
          <w:rFonts w:ascii="Times New Roman" w:hAnsi="Times New Roman" w:cs="Times New Roman"/>
          <w:sz w:val="24"/>
          <w:szCs w:val="24"/>
        </w:rPr>
      </w:pPr>
      <w:r w:rsidRPr="00982FCE">
        <w:rPr>
          <w:rFonts w:ascii="Times New Roman" w:hAnsi="Times New Roman" w:cs="Times New Roman"/>
          <w:sz w:val="24"/>
          <w:szCs w:val="24"/>
        </w:rPr>
        <w:t>di considerare le premesse quale parte integrante e sostanziale del presente documento di proposta;</w:t>
      </w:r>
    </w:p>
    <w:p w:rsidR="009929DE" w:rsidRPr="00982FCE" w:rsidRDefault="009929DE" w:rsidP="009929DE">
      <w:pPr>
        <w:ind w:left="357"/>
        <w:jc w:val="both"/>
        <w:rPr>
          <w:rFonts w:ascii="Times New Roman" w:hAnsi="Times New Roman" w:cs="Times New Roman"/>
          <w:sz w:val="24"/>
          <w:szCs w:val="24"/>
        </w:rPr>
      </w:pPr>
    </w:p>
    <w:p w:rsidR="009929DE" w:rsidRPr="00982FCE" w:rsidRDefault="009929DE" w:rsidP="009929DE">
      <w:pPr>
        <w:numPr>
          <w:ilvl w:val="0"/>
          <w:numId w:val="26"/>
        </w:numPr>
        <w:tabs>
          <w:tab w:val="clear" w:pos="720"/>
        </w:tabs>
        <w:ind w:left="714" w:hanging="357"/>
        <w:jc w:val="both"/>
        <w:rPr>
          <w:rFonts w:ascii="Times New Roman" w:hAnsi="Times New Roman" w:cs="Times New Roman"/>
          <w:sz w:val="24"/>
          <w:szCs w:val="24"/>
        </w:rPr>
      </w:pPr>
      <w:r w:rsidRPr="00982FCE">
        <w:rPr>
          <w:rFonts w:ascii="Times New Roman" w:hAnsi="Times New Roman" w:cs="Times New Roman"/>
          <w:sz w:val="24"/>
          <w:szCs w:val="24"/>
        </w:rPr>
        <w:t xml:space="preserve">di </w:t>
      </w:r>
      <w:r>
        <w:rPr>
          <w:rFonts w:ascii="Times New Roman" w:hAnsi="Times New Roman" w:cs="Times New Roman"/>
          <w:sz w:val="24"/>
          <w:szCs w:val="24"/>
        </w:rPr>
        <w:t xml:space="preserve">approvare e </w:t>
      </w:r>
      <w:r w:rsidRPr="00982FCE">
        <w:rPr>
          <w:rFonts w:ascii="Times New Roman" w:hAnsi="Times New Roman" w:cs="Times New Roman"/>
          <w:sz w:val="24"/>
          <w:szCs w:val="24"/>
        </w:rPr>
        <w:t>presentare all’Assem</w:t>
      </w:r>
      <w:r>
        <w:rPr>
          <w:rFonts w:ascii="Times New Roman" w:hAnsi="Times New Roman" w:cs="Times New Roman"/>
          <w:sz w:val="24"/>
          <w:szCs w:val="24"/>
        </w:rPr>
        <w:t>blea, per gli effetti dell’art.</w:t>
      </w:r>
      <w:r w:rsidRPr="00982FCE">
        <w:rPr>
          <w:rFonts w:ascii="Times New Roman" w:hAnsi="Times New Roman" w:cs="Times New Roman"/>
          <w:sz w:val="24"/>
          <w:szCs w:val="24"/>
        </w:rPr>
        <w:t>174 del T.U. 18 agosto 2000, n.267, i seguenti documenti:</w:t>
      </w:r>
    </w:p>
    <w:p w:rsidR="009929DE" w:rsidRPr="00982FCE" w:rsidRDefault="009929DE" w:rsidP="009929DE">
      <w:pPr>
        <w:jc w:val="both"/>
        <w:rPr>
          <w:rFonts w:ascii="Times New Roman" w:hAnsi="Times New Roman" w:cs="Times New Roman"/>
          <w:sz w:val="24"/>
          <w:szCs w:val="24"/>
        </w:rPr>
      </w:pPr>
    </w:p>
    <w:p w:rsidR="009929DE" w:rsidRDefault="009929DE" w:rsidP="009929DE">
      <w:pPr>
        <w:numPr>
          <w:ilvl w:val="0"/>
          <w:numId w:val="27"/>
        </w:numPr>
        <w:tabs>
          <w:tab w:val="clear" w:pos="1080"/>
          <w:tab w:val="num" w:pos="709"/>
        </w:tabs>
        <w:ind w:left="1077" w:hanging="357"/>
        <w:jc w:val="both"/>
        <w:rPr>
          <w:rFonts w:ascii="Times New Roman" w:hAnsi="Times New Roman" w:cs="Times New Roman"/>
          <w:sz w:val="24"/>
          <w:szCs w:val="24"/>
        </w:rPr>
      </w:pPr>
      <w:r w:rsidRPr="00982FCE">
        <w:rPr>
          <w:rFonts w:ascii="Times New Roman" w:hAnsi="Times New Roman" w:cs="Times New Roman"/>
          <w:sz w:val="24"/>
          <w:szCs w:val="24"/>
        </w:rPr>
        <w:t>lo schema del bilancio di previsione finanziario per il triennio 2018</w:t>
      </w:r>
      <w:r>
        <w:rPr>
          <w:rFonts w:ascii="Times New Roman" w:hAnsi="Times New Roman" w:cs="Times New Roman"/>
          <w:sz w:val="24"/>
          <w:szCs w:val="24"/>
        </w:rPr>
        <w:t>/2019/2020</w:t>
      </w:r>
      <w:r w:rsidRPr="00982FCE">
        <w:rPr>
          <w:rFonts w:ascii="Times New Roman" w:hAnsi="Times New Roman" w:cs="Times New Roman"/>
          <w:sz w:val="24"/>
          <w:szCs w:val="24"/>
        </w:rPr>
        <w:t xml:space="preserve">, in allegato alla presente;   </w:t>
      </w:r>
    </w:p>
    <w:p w:rsidR="009929DE" w:rsidRPr="00982FCE" w:rsidRDefault="009929DE" w:rsidP="009929DE">
      <w:pPr>
        <w:numPr>
          <w:ilvl w:val="0"/>
          <w:numId w:val="27"/>
        </w:numPr>
        <w:jc w:val="both"/>
        <w:rPr>
          <w:rFonts w:ascii="Times New Roman" w:hAnsi="Times New Roman" w:cs="Times New Roman"/>
          <w:sz w:val="24"/>
          <w:szCs w:val="24"/>
        </w:rPr>
      </w:pPr>
      <w:r w:rsidRPr="00982FCE">
        <w:rPr>
          <w:rFonts w:ascii="Times New Roman" w:hAnsi="Times New Roman" w:cs="Times New Roman"/>
          <w:sz w:val="24"/>
          <w:szCs w:val="24"/>
        </w:rPr>
        <w:t>gli allegati al bilancio di previsione finanziario:</w:t>
      </w:r>
    </w:p>
    <w:p w:rsidR="009929DE" w:rsidRPr="00656159" w:rsidRDefault="009929DE" w:rsidP="009929DE">
      <w:pPr>
        <w:numPr>
          <w:ilvl w:val="0"/>
          <w:numId w:val="28"/>
        </w:numPr>
        <w:jc w:val="both"/>
        <w:rPr>
          <w:rFonts w:ascii="Times New Roman" w:hAnsi="Times New Roman" w:cs="Times New Roman"/>
          <w:sz w:val="24"/>
          <w:szCs w:val="24"/>
        </w:rPr>
      </w:pPr>
      <w:r w:rsidRPr="00656159">
        <w:rPr>
          <w:rFonts w:ascii="Times New Roman" w:hAnsi="Times New Roman" w:cs="Times New Roman"/>
          <w:i/>
          <w:sz w:val="24"/>
          <w:szCs w:val="24"/>
        </w:rPr>
        <w:t>nota integrativa</w:t>
      </w:r>
      <w:r w:rsidRPr="00656159">
        <w:rPr>
          <w:rFonts w:ascii="Times New Roman" w:hAnsi="Times New Roman" w:cs="Times New Roman"/>
          <w:sz w:val="24"/>
          <w:szCs w:val="24"/>
        </w:rPr>
        <w:t xml:space="preserve"> </w:t>
      </w:r>
      <w:r w:rsidR="00656159">
        <w:rPr>
          <w:rFonts w:ascii="Times New Roman" w:hAnsi="Times New Roman" w:cs="Times New Roman"/>
          <w:sz w:val="24"/>
          <w:szCs w:val="24"/>
        </w:rPr>
        <w:t xml:space="preserve">e </w:t>
      </w:r>
      <w:r w:rsidRPr="00656159">
        <w:rPr>
          <w:rFonts w:ascii="Times New Roman" w:hAnsi="Times New Roman" w:cs="Times New Roman"/>
          <w:i/>
          <w:sz w:val="24"/>
          <w:szCs w:val="24"/>
        </w:rPr>
        <w:t>prospetto esplicativo del presunto risultato di amministrazione</w:t>
      </w:r>
    </w:p>
    <w:p w:rsidR="009929DE" w:rsidRPr="00982FCE" w:rsidRDefault="009929DE" w:rsidP="009929DE">
      <w:pPr>
        <w:numPr>
          <w:ilvl w:val="0"/>
          <w:numId w:val="28"/>
        </w:numPr>
        <w:jc w:val="both"/>
        <w:rPr>
          <w:rFonts w:ascii="Times New Roman" w:hAnsi="Times New Roman" w:cs="Times New Roman"/>
          <w:sz w:val="24"/>
          <w:szCs w:val="24"/>
        </w:rPr>
      </w:pPr>
      <w:r w:rsidRPr="00982FCE">
        <w:rPr>
          <w:rFonts w:ascii="Times New Roman" w:hAnsi="Times New Roman" w:cs="Times New Roman"/>
          <w:i/>
          <w:sz w:val="24"/>
          <w:szCs w:val="24"/>
        </w:rPr>
        <w:t>prospetto concernente la composizione, per missioni e programmi, del fondo pluriennale vincolato;</w:t>
      </w:r>
    </w:p>
    <w:p w:rsidR="009929DE" w:rsidRDefault="009929DE" w:rsidP="009929DE">
      <w:pPr>
        <w:numPr>
          <w:ilvl w:val="0"/>
          <w:numId w:val="28"/>
        </w:numPr>
        <w:jc w:val="both"/>
        <w:rPr>
          <w:rFonts w:ascii="Times New Roman" w:hAnsi="Times New Roman" w:cs="Times New Roman"/>
          <w:i/>
          <w:sz w:val="24"/>
          <w:szCs w:val="24"/>
        </w:rPr>
      </w:pPr>
      <w:r w:rsidRPr="00982FCE">
        <w:rPr>
          <w:rFonts w:ascii="Times New Roman" w:hAnsi="Times New Roman" w:cs="Times New Roman"/>
          <w:i/>
          <w:sz w:val="24"/>
          <w:szCs w:val="24"/>
        </w:rPr>
        <w:t>programma degli incarichi esterni</w:t>
      </w:r>
      <w:r w:rsidR="00D804BA">
        <w:rPr>
          <w:rFonts w:ascii="Times New Roman" w:hAnsi="Times New Roman" w:cs="Times New Roman"/>
          <w:i/>
          <w:sz w:val="24"/>
          <w:szCs w:val="24"/>
        </w:rPr>
        <w:t xml:space="preserve"> </w:t>
      </w:r>
      <w:r>
        <w:rPr>
          <w:rFonts w:ascii="Times New Roman" w:hAnsi="Times New Roman" w:cs="Times New Roman"/>
          <w:i/>
          <w:sz w:val="24"/>
          <w:szCs w:val="24"/>
        </w:rPr>
        <w:t>2019/2020</w:t>
      </w:r>
      <w:r w:rsidR="00D804BA">
        <w:rPr>
          <w:rFonts w:ascii="Times New Roman" w:hAnsi="Times New Roman" w:cs="Times New Roman"/>
          <w:i/>
          <w:sz w:val="24"/>
          <w:szCs w:val="24"/>
        </w:rPr>
        <w:t>/2021</w:t>
      </w:r>
    </w:p>
    <w:p w:rsidR="009929DE" w:rsidRPr="006B1B63" w:rsidRDefault="006B1B63" w:rsidP="006B1B63">
      <w:pPr>
        <w:numPr>
          <w:ilvl w:val="0"/>
          <w:numId w:val="28"/>
        </w:numPr>
        <w:jc w:val="both"/>
        <w:rPr>
          <w:rFonts w:ascii="Times New Roman" w:hAnsi="Times New Roman" w:cs="Times New Roman"/>
          <w:i/>
          <w:sz w:val="24"/>
          <w:szCs w:val="24"/>
        </w:rPr>
      </w:pPr>
      <w:r w:rsidRPr="006B1B63">
        <w:rPr>
          <w:rFonts w:ascii="Times New Roman" w:hAnsi="Times New Roman" w:cs="Times New Roman"/>
          <w:i/>
          <w:sz w:val="24"/>
          <w:szCs w:val="24"/>
        </w:rPr>
        <w:t>prospetto</w:t>
      </w:r>
      <w:r w:rsidR="005F5F85">
        <w:rPr>
          <w:rFonts w:ascii="Times New Roman" w:hAnsi="Times New Roman" w:cs="Times New Roman"/>
          <w:i/>
          <w:sz w:val="24"/>
          <w:szCs w:val="24"/>
        </w:rPr>
        <w:t xml:space="preserve"> dei contributi </w:t>
      </w:r>
      <w:r w:rsidRPr="006B1B63">
        <w:rPr>
          <w:rFonts w:ascii="Times New Roman" w:hAnsi="Times New Roman" w:cs="Times New Roman"/>
          <w:i/>
          <w:sz w:val="24"/>
          <w:szCs w:val="24"/>
        </w:rPr>
        <w:t>2019</w:t>
      </w:r>
      <w:r w:rsidR="005F5F85">
        <w:rPr>
          <w:rFonts w:ascii="Times New Roman" w:hAnsi="Times New Roman" w:cs="Times New Roman"/>
          <w:i/>
          <w:sz w:val="24"/>
          <w:szCs w:val="24"/>
        </w:rPr>
        <w:t>-2020</w:t>
      </w:r>
      <w:r w:rsidR="00D804BA">
        <w:rPr>
          <w:rFonts w:ascii="Times New Roman" w:hAnsi="Times New Roman" w:cs="Times New Roman"/>
          <w:i/>
          <w:sz w:val="24"/>
          <w:szCs w:val="24"/>
        </w:rPr>
        <w:t>-2021</w:t>
      </w:r>
      <w:r w:rsidRPr="006B1B63">
        <w:rPr>
          <w:rFonts w:ascii="Times New Roman" w:hAnsi="Times New Roman" w:cs="Times New Roman"/>
          <w:i/>
          <w:sz w:val="24"/>
          <w:szCs w:val="24"/>
        </w:rPr>
        <w:t xml:space="preserve"> dovuti dagli enti locali partecipanti all’Assemblea Territoriale d’Ambito n.1 – Marche Nord</w:t>
      </w:r>
      <w:r w:rsidR="009929DE" w:rsidRPr="006B1B63">
        <w:rPr>
          <w:rFonts w:ascii="Times New Roman" w:hAnsi="Times New Roman" w:cs="Times New Roman"/>
          <w:i/>
          <w:sz w:val="24"/>
          <w:szCs w:val="24"/>
        </w:rPr>
        <w:t>;</w:t>
      </w:r>
    </w:p>
    <w:p w:rsidR="006B1B63" w:rsidRPr="006B1B63" w:rsidRDefault="009929DE" w:rsidP="006B1B63">
      <w:pPr>
        <w:numPr>
          <w:ilvl w:val="0"/>
          <w:numId w:val="27"/>
        </w:numPr>
        <w:tabs>
          <w:tab w:val="clear" w:pos="1080"/>
          <w:tab w:val="num" w:pos="709"/>
        </w:tabs>
        <w:ind w:left="1077" w:hanging="357"/>
        <w:jc w:val="both"/>
        <w:rPr>
          <w:rFonts w:ascii="Times New Roman" w:hAnsi="Times New Roman" w:cs="Times New Roman"/>
          <w:sz w:val="24"/>
          <w:szCs w:val="24"/>
        </w:rPr>
      </w:pPr>
      <w:r>
        <w:rPr>
          <w:rFonts w:ascii="Times New Roman" w:hAnsi="Times New Roman" w:cs="Times New Roman"/>
          <w:sz w:val="24"/>
          <w:szCs w:val="24"/>
        </w:rPr>
        <w:t>articolazione delle tipologie in categorie e dei programmi in macroaggregati</w:t>
      </w:r>
    </w:p>
    <w:p w:rsidR="006B1B63" w:rsidRPr="00982FCE" w:rsidRDefault="006B1B63" w:rsidP="009929DE">
      <w:pPr>
        <w:ind w:left="1080"/>
        <w:jc w:val="both"/>
        <w:rPr>
          <w:rFonts w:ascii="Times New Roman" w:hAnsi="Times New Roman" w:cs="Times New Roman"/>
          <w:sz w:val="24"/>
          <w:szCs w:val="24"/>
        </w:rPr>
      </w:pPr>
    </w:p>
    <w:p w:rsidR="009929DE" w:rsidRPr="00D804BA" w:rsidRDefault="009929DE" w:rsidP="00D804BA">
      <w:pPr>
        <w:numPr>
          <w:ilvl w:val="0"/>
          <w:numId w:val="26"/>
        </w:numPr>
        <w:jc w:val="both"/>
        <w:rPr>
          <w:rFonts w:ascii="Times New Roman" w:hAnsi="Times New Roman" w:cs="Times New Roman"/>
          <w:sz w:val="24"/>
          <w:szCs w:val="24"/>
        </w:rPr>
      </w:pPr>
      <w:r w:rsidRPr="00982FCE">
        <w:rPr>
          <w:rFonts w:ascii="Times New Roman" w:hAnsi="Times New Roman" w:cs="Times New Roman"/>
          <w:sz w:val="24"/>
          <w:szCs w:val="24"/>
        </w:rPr>
        <w:t xml:space="preserve">di individuare il limite massimo </w:t>
      </w:r>
      <w:proofErr w:type="gramStart"/>
      <w:r w:rsidRPr="00982FCE">
        <w:rPr>
          <w:rFonts w:ascii="Times New Roman" w:hAnsi="Times New Roman" w:cs="Times New Roman"/>
          <w:sz w:val="24"/>
          <w:szCs w:val="24"/>
        </w:rPr>
        <w:t>delle spesa</w:t>
      </w:r>
      <w:proofErr w:type="gramEnd"/>
      <w:r w:rsidRPr="00982FCE">
        <w:rPr>
          <w:rFonts w:ascii="Times New Roman" w:hAnsi="Times New Roman" w:cs="Times New Roman"/>
          <w:sz w:val="24"/>
          <w:szCs w:val="24"/>
        </w:rPr>
        <w:t xml:space="preserve"> per incarichi di collaborazione </w:t>
      </w:r>
      <w:r w:rsidR="00F83DBB">
        <w:rPr>
          <w:rFonts w:ascii="Times New Roman" w:hAnsi="Times New Roman" w:cs="Times New Roman"/>
          <w:sz w:val="24"/>
          <w:szCs w:val="24"/>
        </w:rPr>
        <w:t>come riportato nel programma incarichi allegato alla presente</w:t>
      </w:r>
      <w:r>
        <w:rPr>
          <w:rFonts w:ascii="Times New Roman" w:hAnsi="Times New Roman" w:cs="Times New Roman"/>
          <w:sz w:val="24"/>
          <w:szCs w:val="24"/>
        </w:rPr>
        <w:t>;</w:t>
      </w:r>
    </w:p>
    <w:p w:rsidR="009929DE" w:rsidRPr="00982FCE" w:rsidRDefault="009929DE" w:rsidP="009929DE">
      <w:pPr>
        <w:pStyle w:val="rtf2rtf1rtf1ListParagraph"/>
      </w:pPr>
    </w:p>
    <w:p w:rsidR="009929DE" w:rsidRPr="00982FCE" w:rsidRDefault="009929DE" w:rsidP="009929DE">
      <w:pPr>
        <w:numPr>
          <w:ilvl w:val="0"/>
          <w:numId w:val="26"/>
        </w:numPr>
        <w:jc w:val="both"/>
        <w:rPr>
          <w:rFonts w:ascii="Times New Roman" w:hAnsi="Times New Roman" w:cs="Times New Roman"/>
          <w:sz w:val="24"/>
          <w:szCs w:val="24"/>
        </w:rPr>
      </w:pPr>
      <w:r w:rsidRPr="00982FCE">
        <w:rPr>
          <w:rFonts w:ascii="Times New Roman" w:hAnsi="Times New Roman" w:cs="Times New Roman"/>
          <w:sz w:val="24"/>
          <w:szCs w:val="24"/>
        </w:rPr>
        <w:t xml:space="preserve">di dare atto che la presente proposta riporta in calce i pareri di regolarità previsti dall’art. 49 del D. </w:t>
      </w:r>
      <w:proofErr w:type="spellStart"/>
      <w:r w:rsidRPr="00982FCE">
        <w:rPr>
          <w:rFonts w:ascii="Times New Roman" w:hAnsi="Times New Roman" w:cs="Times New Roman"/>
          <w:sz w:val="24"/>
          <w:szCs w:val="24"/>
        </w:rPr>
        <w:t>lgs</w:t>
      </w:r>
      <w:proofErr w:type="spellEnd"/>
      <w:r w:rsidRPr="00982FCE">
        <w:rPr>
          <w:rFonts w:ascii="Times New Roman" w:hAnsi="Times New Roman" w:cs="Times New Roman"/>
          <w:sz w:val="24"/>
          <w:szCs w:val="24"/>
        </w:rPr>
        <w:t>. 267/2000;</w:t>
      </w:r>
    </w:p>
    <w:p w:rsidR="009929DE" w:rsidRPr="00982FCE" w:rsidRDefault="009929DE" w:rsidP="009929DE">
      <w:pPr>
        <w:pStyle w:val="rtf2rtf1rtf1ListParagraph"/>
      </w:pPr>
    </w:p>
    <w:p w:rsidR="009929DE" w:rsidRPr="009D3616" w:rsidRDefault="009929DE" w:rsidP="009929DE">
      <w:pPr>
        <w:numPr>
          <w:ilvl w:val="0"/>
          <w:numId w:val="26"/>
        </w:numPr>
        <w:jc w:val="both"/>
        <w:rPr>
          <w:rFonts w:ascii="Times New Roman" w:hAnsi="Times New Roman" w:cs="Times New Roman"/>
          <w:sz w:val="24"/>
          <w:szCs w:val="24"/>
        </w:rPr>
      </w:pPr>
      <w:r w:rsidRPr="009D3616">
        <w:rPr>
          <w:rFonts w:ascii="Times New Roman" w:hAnsi="Times New Roman" w:cs="Times New Roman"/>
          <w:sz w:val="24"/>
          <w:szCs w:val="24"/>
        </w:rPr>
        <w:t xml:space="preserve">stante l’urgenza, di dichiarare il presente atto immediatamente eseguibile ai sensi dell’art.134, comma 4, del testo unico delle leggi sull’ordinamento degli Enti locali approvato con Decreto Legislativo n. 267 del 18 </w:t>
      </w:r>
      <w:proofErr w:type="gramStart"/>
      <w:r w:rsidRPr="009D3616">
        <w:rPr>
          <w:rFonts w:ascii="Times New Roman" w:hAnsi="Times New Roman" w:cs="Times New Roman"/>
          <w:sz w:val="24"/>
          <w:szCs w:val="24"/>
        </w:rPr>
        <w:t>Agosto</w:t>
      </w:r>
      <w:proofErr w:type="gramEnd"/>
      <w:r w:rsidRPr="009D3616">
        <w:rPr>
          <w:rFonts w:ascii="Times New Roman" w:hAnsi="Times New Roman" w:cs="Times New Roman"/>
          <w:sz w:val="24"/>
          <w:szCs w:val="24"/>
        </w:rPr>
        <w:t xml:space="preserve"> 2000.</w:t>
      </w:r>
    </w:p>
    <w:p w:rsidR="009929DE" w:rsidRPr="00982FCE" w:rsidRDefault="009929DE" w:rsidP="009929DE">
      <w:pPr>
        <w:jc w:val="both"/>
        <w:rPr>
          <w:rFonts w:ascii="Times New Roman" w:hAnsi="Times New Roman" w:cs="Times New Roman"/>
          <w:sz w:val="24"/>
          <w:szCs w:val="24"/>
        </w:rPr>
      </w:pPr>
    </w:p>
    <w:p w:rsidR="0070660B" w:rsidRDefault="0070660B" w:rsidP="0070660B">
      <w:pPr>
        <w:tabs>
          <w:tab w:val="left" w:pos="5103"/>
        </w:tabs>
        <w:ind w:left="284" w:hanging="284"/>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7E0483">
        <w:rPr>
          <w:rFonts w:ascii="Times New Roman" w:hAnsi="Times New Roman" w:cs="Times New Roman"/>
          <w:sz w:val="24"/>
          <w:szCs w:val="24"/>
        </w:rPr>
        <w:t>FIRMA</w:t>
      </w:r>
      <w:r>
        <w:rPr>
          <w:rFonts w:ascii="Times New Roman" w:hAnsi="Times New Roman" w:cs="Times New Roman"/>
          <w:sz w:val="24"/>
          <w:szCs w:val="24"/>
        </w:rPr>
        <w:t xml:space="preserve"> </w:t>
      </w:r>
    </w:p>
    <w:p w:rsidR="0070660B" w:rsidRDefault="0070660B" w:rsidP="0070660B">
      <w:pPr>
        <w:tabs>
          <w:tab w:val="center" w:pos="5529"/>
        </w:tabs>
        <w:ind w:left="284" w:hanging="284"/>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Dott. Marco Domenicucci</w:t>
      </w:r>
    </w:p>
    <w:p w:rsidR="0070660B" w:rsidRDefault="0070660B">
      <w:pPr>
        <w:rPr>
          <w:rFonts w:ascii="Times New Roman" w:hAnsi="Times New Roman" w:cs="Times New Roman"/>
          <w:sz w:val="24"/>
          <w:szCs w:val="24"/>
          <w:highlight w:val="yellow"/>
        </w:rPr>
      </w:pPr>
      <w:r>
        <w:rPr>
          <w:rFonts w:ascii="Times New Roman" w:hAnsi="Times New Roman" w:cs="Times New Roman"/>
          <w:sz w:val="24"/>
          <w:szCs w:val="24"/>
          <w:highlight w:val="yellow"/>
        </w:rPr>
        <w:br w:type="page"/>
      </w:r>
    </w:p>
    <w:p w:rsidR="009929DE" w:rsidRPr="00982FCE" w:rsidRDefault="009929DE" w:rsidP="009929DE">
      <w:pPr>
        <w:ind w:firstLine="5103"/>
        <w:jc w:val="both"/>
        <w:rPr>
          <w:rFonts w:ascii="Times New Roman" w:hAnsi="Times New Roman" w:cs="Times New Roman"/>
          <w:sz w:val="24"/>
          <w:szCs w:val="24"/>
        </w:rPr>
      </w:pPr>
      <w:r w:rsidRPr="00D804BA">
        <w:rPr>
          <w:rFonts w:ascii="Times New Roman" w:hAnsi="Times New Roman" w:cs="Times New Roman"/>
          <w:sz w:val="24"/>
          <w:szCs w:val="24"/>
          <w:highlight w:val="yellow"/>
        </w:rPr>
        <w:lastRenderedPageBreak/>
        <w:t xml:space="preserve">           </w:t>
      </w:r>
    </w:p>
    <w:p w:rsidR="009929DE" w:rsidRPr="00982FCE" w:rsidRDefault="009929DE" w:rsidP="009929DE">
      <w:pPr>
        <w:pStyle w:val="rtf2rtf1rtf1rtf1rtf1rtf1COMMI"/>
        <w:jc w:val="both"/>
        <w:rPr>
          <w:rFonts w:ascii="Times New Roman" w:hAnsi="Times New Roman" w:cs="Times New Roman"/>
          <w:sz w:val="24"/>
          <w:szCs w:val="24"/>
        </w:rPr>
      </w:pPr>
      <w:r w:rsidRPr="00982FCE">
        <w:rPr>
          <w:rFonts w:ascii="Times New Roman" w:hAnsi="Times New Roman" w:cs="Times New Roman"/>
          <w:sz w:val="24"/>
          <w:szCs w:val="24"/>
        </w:rPr>
        <w:t>Allegati:</w:t>
      </w:r>
    </w:p>
    <w:p w:rsidR="009929DE" w:rsidRPr="00982FCE" w:rsidRDefault="009929DE" w:rsidP="009929DE">
      <w:pPr>
        <w:numPr>
          <w:ilvl w:val="0"/>
          <w:numId w:val="29"/>
        </w:numPr>
        <w:jc w:val="both"/>
        <w:rPr>
          <w:rFonts w:ascii="Times New Roman" w:hAnsi="Times New Roman" w:cs="Times New Roman"/>
          <w:sz w:val="24"/>
          <w:szCs w:val="24"/>
        </w:rPr>
      </w:pPr>
      <w:r w:rsidRPr="00982FCE">
        <w:rPr>
          <w:rFonts w:ascii="Times New Roman" w:hAnsi="Times New Roman" w:cs="Times New Roman"/>
          <w:sz w:val="24"/>
          <w:szCs w:val="24"/>
        </w:rPr>
        <w:t>schema Bilancio di previsione finan</w:t>
      </w:r>
      <w:r w:rsidR="00D804BA">
        <w:rPr>
          <w:rFonts w:ascii="Times New Roman" w:hAnsi="Times New Roman" w:cs="Times New Roman"/>
          <w:sz w:val="24"/>
          <w:szCs w:val="24"/>
        </w:rPr>
        <w:t xml:space="preserve">ziario relativo al triennio </w:t>
      </w:r>
      <w:r>
        <w:rPr>
          <w:rFonts w:ascii="Times New Roman" w:hAnsi="Times New Roman" w:cs="Times New Roman"/>
          <w:sz w:val="24"/>
          <w:szCs w:val="24"/>
        </w:rPr>
        <w:t>2019/2020</w:t>
      </w:r>
      <w:r w:rsidR="00D804BA">
        <w:rPr>
          <w:rFonts w:ascii="Times New Roman" w:hAnsi="Times New Roman" w:cs="Times New Roman"/>
          <w:sz w:val="24"/>
          <w:szCs w:val="24"/>
        </w:rPr>
        <w:t>/2021</w:t>
      </w:r>
    </w:p>
    <w:p w:rsidR="009929DE" w:rsidRPr="009D3616" w:rsidRDefault="009929DE" w:rsidP="009929DE">
      <w:pPr>
        <w:numPr>
          <w:ilvl w:val="0"/>
          <w:numId w:val="29"/>
        </w:numPr>
        <w:jc w:val="both"/>
        <w:rPr>
          <w:rFonts w:ascii="Times New Roman" w:hAnsi="Times New Roman" w:cs="Times New Roman"/>
          <w:smallCaps/>
          <w:sz w:val="24"/>
          <w:szCs w:val="24"/>
        </w:rPr>
      </w:pPr>
      <w:r w:rsidRPr="00982FCE">
        <w:rPr>
          <w:rFonts w:ascii="Times New Roman" w:hAnsi="Times New Roman" w:cs="Times New Roman"/>
          <w:sz w:val="24"/>
          <w:szCs w:val="24"/>
        </w:rPr>
        <w:t xml:space="preserve">nota integrativa </w:t>
      </w:r>
      <w:r>
        <w:rPr>
          <w:rFonts w:ascii="Times New Roman" w:hAnsi="Times New Roman" w:cs="Times New Roman"/>
          <w:sz w:val="24"/>
          <w:szCs w:val="24"/>
        </w:rPr>
        <w:t xml:space="preserve">e </w:t>
      </w:r>
      <w:r w:rsidRPr="00982FCE">
        <w:rPr>
          <w:rFonts w:ascii="Times New Roman" w:hAnsi="Times New Roman" w:cs="Times New Roman"/>
          <w:sz w:val="24"/>
          <w:szCs w:val="24"/>
        </w:rPr>
        <w:t>prospetto esplicativo del presunto risultato di amministrazione</w:t>
      </w:r>
    </w:p>
    <w:p w:rsidR="009929DE" w:rsidRPr="00982FCE" w:rsidRDefault="009929DE" w:rsidP="009929DE">
      <w:pPr>
        <w:numPr>
          <w:ilvl w:val="0"/>
          <w:numId w:val="29"/>
        </w:numPr>
        <w:jc w:val="both"/>
        <w:rPr>
          <w:rFonts w:ascii="Times New Roman" w:hAnsi="Times New Roman" w:cs="Times New Roman"/>
          <w:sz w:val="24"/>
          <w:szCs w:val="24"/>
        </w:rPr>
      </w:pPr>
      <w:r w:rsidRPr="00982FCE">
        <w:rPr>
          <w:rFonts w:ascii="Times New Roman" w:hAnsi="Times New Roman" w:cs="Times New Roman"/>
          <w:sz w:val="24"/>
          <w:szCs w:val="24"/>
        </w:rPr>
        <w:t>prospetto concernente la composizione, per missioni e programmi, del fondo pluriennale vincolato;</w:t>
      </w:r>
    </w:p>
    <w:p w:rsidR="009929DE" w:rsidRPr="00982FCE" w:rsidRDefault="009929DE" w:rsidP="009929DE">
      <w:pPr>
        <w:numPr>
          <w:ilvl w:val="0"/>
          <w:numId w:val="29"/>
        </w:numPr>
        <w:jc w:val="both"/>
        <w:rPr>
          <w:rFonts w:ascii="Times New Roman" w:hAnsi="Times New Roman" w:cs="Times New Roman"/>
          <w:sz w:val="24"/>
          <w:szCs w:val="24"/>
        </w:rPr>
      </w:pPr>
      <w:r>
        <w:rPr>
          <w:rFonts w:ascii="Times New Roman" w:hAnsi="Times New Roman" w:cs="Times New Roman"/>
          <w:sz w:val="24"/>
          <w:szCs w:val="24"/>
        </w:rPr>
        <w:t>programma incar</w:t>
      </w:r>
      <w:r w:rsidR="00D804BA">
        <w:rPr>
          <w:rFonts w:ascii="Times New Roman" w:hAnsi="Times New Roman" w:cs="Times New Roman"/>
          <w:sz w:val="24"/>
          <w:szCs w:val="24"/>
        </w:rPr>
        <w:t xml:space="preserve">ichi esterni </w:t>
      </w:r>
      <w:r>
        <w:rPr>
          <w:rFonts w:ascii="Times New Roman" w:hAnsi="Times New Roman" w:cs="Times New Roman"/>
          <w:sz w:val="24"/>
          <w:szCs w:val="24"/>
        </w:rPr>
        <w:t>2019/2020</w:t>
      </w:r>
      <w:r w:rsidR="00D804BA">
        <w:rPr>
          <w:rFonts w:ascii="Times New Roman" w:hAnsi="Times New Roman" w:cs="Times New Roman"/>
          <w:sz w:val="24"/>
          <w:szCs w:val="24"/>
        </w:rPr>
        <w:t>/2021</w:t>
      </w:r>
    </w:p>
    <w:p w:rsidR="007606F5" w:rsidRPr="007606F5" w:rsidRDefault="005F5F85" w:rsidP="007606F5">
      <w:pPr>
        <w:numPr>
          <w:ilvl w:val="0"/>
          <w:numId w:val="29"/>
        </w:numPr>
        <w:jc w:val="both"/>
        <w:rPr>
          <w:rFonts w:ascii="Times New Roman" w:hAnsi="Times New Roman" w:cs="Times New Roman"/>
          <w:sz w:val="24"/>
          <w:szCs w:val="24"/>
        </w:rPr>
      </w:pPr>
      <w:r>
        <w:rPr>
          <w:rFonts w:ascii="Times New Roman" w:hAnsi="Times New Roman" w:cs="Times New Roman"/>
          <w:sz w:val="24"/>
          <w:szCs w:val="24"/>
        </w:rPr>
        <w:t xml:space="preserve">prospetto dei contributi </w:t>
      </w:r>
      <w:r w:rsidR="007606F5" w:rsidRPr="007606F5">
        <w:rPr>
          <w:rFonts w:ascii="Times New Roman" w:hAnsi="Times New Roman" w:cs="Times New Roman"/>
          <w:sz w:val="24"/>
          <w:szCs w:val="24"/>
        </w:rPr>
        <w:t>2019</w:t>
      </w:r>
      <w:r>
        <w:rPr>
          <w:rFonts w:ascii="Times New Roman" w:hAnsi="Times New Roman" w:cs="Times New Roman"/>
          <w:sz w:val="24"/>
          <w:szCs w:val="24"/>
        </w:rPr>
        <w:t>/2020</w:t>
      </w:r>
      <w:r w:rsidR="00D804BA">
        <w:rPr>
          <w:rFonts w:ascii="Times New Roman" w:hAnsi="Times New Roman" w:cs="Times New Roman"/>
          <w:sz w:val="24"/>
          <w:szCs w:val="24"/>
        </w:rPr>
        <w:t xml:space="preserve">/2021 </w:t>
      </w:r>
      <w:r w:rsidR="007606F5" w:rsidRPr="007606F5">
        <w:rPr>
          <w:rFonts w:ascii="Times New Roman" w:hAnsi="Times New Roman" w:cs="Times New Roman"/>
          <w:sz w:val="24"/>
          <w:szCs w:val="24"/>
        </w:rPr>
        <w:t>dovuti dagli enti locali partecipanti all’Assemblea Territoriale d’Ambito n.1 – Marche Nord</w:t>
      </w:r>
      <w:r w:rsidR="00D804BA">
        <w:rPr>
          <w:rFonts w:ascii="Times New Roman" w:hAnsi="Times New Roman" w:cs="Times New Roman"/>
          <w:sz w:val="24"/>
          <w:szCs w:val="24"/>
        </w:rPr>
        <w:t xml:space="preserve"> per il funzionamento</w:t>
      </w:r>
      <w:r w:rsidR="007606F5" w:rsidRPr="007606F5">
        <w:rPr>
          <w:rFonts w:ascii="Times New Roman" w:hAnsi="Times New Roman" w:cs="Times New Roman"/>
          <w:sz w:val="24"/>
          <w:szCs w:val="24"/>
        </w:rPr>
        <w:t>;</w:t>
      </w:r>
    </w:p>
    <w:p w:rsidR="009929DE" w:rsidRPr="00982FCE" w:rsidRDefault="009929DE" w:rsidP="009929DE">
      <w:pPr>
        <w:numPr>
          <w:ilvl w:val="0"/>
          <w:numId w:val="29"/>
        </w:numPr>
        <w:jc w:val="both"/>
        <w:rPr>
          <w:rFonts w:ascii="Times New Roman" w:hAnsi="Times New Roman" w:cs="Times New Roman"/>
          <w:sz w:val="24"/>
          <w:szCs w:val="24"/>
        </w:rPr>
      </w:pPr>
      <w:r>
        <w:rPr>
          <w:rFonts w:ascii="Times New Roman" w:hAnsi="Times New Roman" w:cs="Times New Roman"/>
          <w:sz w:val="24"/>
          <w:szCs w:val="24"/>
        </w:rPr>
        <w:t>articolazione delle tipologie in categorie e dei programmi in macroaggregati</w:t>
      </w:r>
    </w:p>
    <w:p w:rsidR="009929DE" w:rsidRPr="00982FCE" w:rsidRDefault="009929DE" w:rsidP="009929DE">
      <w:pPr>
        <w:ind w:left="720"/>
        <w:jc w:val="both"/>
        <w:rPr>
          <w:rFonts w:ascii="Times New Roman" w:hAnsi="Times New Roman" w:cs="Times New Roman"/>
          <w:sz w:val="24"/>
          <w:szCs w:val="24"/>
        </w:rPr>
      </w:pPr>
    </w:p>
    <w:p w:rsidR="009929DE" w:rsidRPr="00982FCE" w:rsidRDefault="009929DE" w:rsidP="009929DE">
      <w:pPr>
        <w:jc w:val="both"/>
        <w:rPr>
          <w:rFonts w:ascii="Times New Roman" w:hAnsi="Times New Roman" w:cs="Times New Roman"/>
          <w:smallCaps/>
          <w:sz w:val="24"/>
          <w:szCs w:val="24"/>
        </w:rPr>
      </w:pPr>
    </w:p>
    <w:p w:rsidR="009929DE" w:rsidRDefault="009929DE" w:rsidP="009929DE">
      <w:pPr>
        <w:jc w:val="both"/>
        <w:rPr>
          <w:rFonts w:ascii="Times New Roman" w:hAnsi="Times New Roman" w:cs="Times New Roman"/>
          <w:smallCaps/>
          <w:sz w:val="24"/>
          <w:szCs w:val="24"/>
        </w:rPr>
      </w:pPr>
    </w:p>
    <w:p w:rsidR="009929DE" w:rsidRDefault="009929DE" w:rsidP="009929DE">
      <w:pPr>
        <w:jc w:val="both"/>
        <w:rPr>
          <w:rFonts w:ascii="Times New Roman" w:hAnsi="Times New Roman" w:cs="Times New Roman"/>
          <w:smallCaps/>
          <w:sz w:val="24"/>
          <w:szCs w:val="24"/>
        </w:rPr>
      </w:pPr>
    </w:p>
    <w:p w:rsidR="009929DE" w:rsidRPr="00982FCE" w:rsidRDefault="009929DE" w:rsidP="009929DE">
      <w:pPr>
        <w:jc w:val="both"/>
        <w:rPr>
          <w:rFonts w:ascii="Times New Roman" w:hAnsi="Times New Roman" w:cs="Times New Roman"/>
          <w:smallCaps/>
          <w:sz w:val="24"/>
          <w:szCs w:val="24"/>
        </w:rPr>
      </w:pPr>
    </w:p>
    <w:p w:rsidR="009929DE" w:rsidRPr="00982FCE" w:rsidRDefault="009929DE" w:rsidP="009929DE">
      <w:pPr>
        <w:ind w:right="32"/>
        <w:jc w:val="both"/>
        <w:rPr>
          <w:rFonts w:ascii="Times New Roman" w:hAnsi="Times New Roman" w:cs="Times New Roman"/>
          <w:sz w:val="24"/>
          <w:szCs w:val="24"/>
        </w:rPr>
      </w:pPr>
      <w:r w:rsidRPr="00982FCE">
        <w:rPr>
          <w:rFonts w:ascii="Times New Roman" w:hAnsi="Times New Roman" w:cs="Times New Roman"/>
          <w:b/>
          <w:bCs/>
          <w:sz w:val="24"/>
          <w:szCs w:val="24"/>
        </w:rPr>
        <w:t xml:space="preserve">Pareri di regolarità resi ai sensi dell’art. 49 del </w:t>
      </w:r>
      <w:proofErr w:type="spellStart"/>
      <w:proofErr w:type="gramStart"/>
      <w:r w:rsidRPr="00982FCE">
        <w:rPr>
          <w:rFonts w:ascii="Times New Roman" w:hAnsi="Times New Roman" w:cs="Times New Roman"/>
          <w:b/>
          <w:bCs/>
          <w:sz w:val="24"/>
          <w:szCs w:val="24"/>
        </w:rPr>
        <w:t>D.Lgs</w:t>
      </w:r>
      <w:proofErr w:type="spellEnd"/>
      <w:proofErr w:type="gramEnd"/>
      <w:r w:rsidRPr="00982FCE">
        <w:rPr>
          <w:rFonts w:ascii="Times New Roman" w:hAnsi="Times New Roman" w:cs="Times New Roman"/>
          <w:b/>
          <w:bCs/>
          <w:sz w:val="24"/>
          <w:szCs w:val="24"/>
        </w:rPr>
        <w:t xml:space="preserve"> 267/2000</w:t>
      </w:r>
      <w:r w:rsidRPr="00982FCE">
        <w:rPr>
          <w:rFonts w:ascii="Times New Roman" w:hAnsi="Times New Roman" w:cs="Times New Roman"/>
          <w:sz w:val="24"/>
          <w:szCs w:val="24"/>
        </w:rPr>
        <w:t>:</w:t>
      </w:r>
    </w:p>
    <w:p w:rsidR="009929DE" w:rsidRPr="00982FCE" w:rsidRDefault="009929DE" w:rsidP="009929DE">
      <w:pPr>
        <w:ind w:right="32"/>
        <w:jc w:val="both"/>
        <w:rPr>
          <w:rFonts w:ascii="Times New Roman" w:hAnsi="Times New Roman" w:cs="Times New Roman"/>
          <w:sz w:val="24"/>
          <w:szCs w:val="24"/>
        </w:rPr>
      </w:pPr>
    </w:p>
    <w:p w:rsidR="009929DE" w:rsidRPr="00982FCE" w:rsidRDefault="009929DE" w:rsidP="009929DE">
      <w:pPr>
        <w:ind w:right="32"/>
        <w:jc w:val="both"/>
        <w:rPr>
          <w:rFonts w:ascii="Times New Roman" w:hAnsi="Times New Roman" w:cs="Times New Roman"/>
          <w:sz w:val="24"/>
          <w:szCs w:val="24"/>
        </w:rPr>
      </w:pPr>
      <w:r w:rsidRPr="00982FCE">
        <w:rPr>
          <w:rFonts w:ascii="Times New Roman" w:hAnsi="Times New Roman" w:cs="Times New Roman"/>
          <w:sz w:val="24"/>
          <w:szCs w:val="24"/>
        </w:rPr>
        <w:t>Vista la proposta di de</w:t>
      </w:r>
      <w:r w:rsidR="007C0FF2">
        <w:rPr>
          <w:rFonts w:ascii="Times New Roman" w:hAnsi="Times New Roman" w:cs="Times New Roman"/>
          <w:sz w:val="24"/>
          <w:szCs w:val="24"/>
        </w:rPr>
        <w:t>creto</w:t>
      </w:r>
      <w:r w:rsidRPr="00982FCE">
        <w:rPr>
          <w:rFonts w:ascii="Times New Roman" w:hAnsi="Times New Roman" w:cs="Times New Roman"/>
          <w:sz w:val="24"/>
          <w:szCs w:val="24"/>
        </w:rPr>
        <w:t xml:space="preserve"> di cui all’oggetto, si esprime </w:t>
      </w:r>
      <w:r w:rsidRPr="00982FCE">
        <w:rPr>
          <w:rFonts w:ascii="Times New Roman" w:hAnsi="Times New Roman" w:cs="Times New Roman"/>
          <w:sz w:val="24"/>
          <w:szCs w:val="24"/>
          <w:u w:val="single"/>
        </w:rPr>
        <w:t>parere</w:t>
      </w:r>
      <w:r w:rsidRPr="00982FCE">
        <w:rPr>
          <w:rFonts w:ascii="Times New Roman" w:hAnsi="Times New Roman" w:cs="Times New Roman"/>
          <w:sz w:val="24"/>
          <w:szCs w:val="24"/>
        </w:rPr>
        <w:t xml:space="preserve"> </w:t>
      </w:r>
      <w:r w:rsidRPr="00982FCE">
        <w:rPr>
          <w:rFonts w:ascii="Times New Roman" w:hAnsi="Times New Roman" w:cs="Times New Roman"/>
          <w:sz w:val="24"/>
          <w:szCs w:val="24"/>
          <w:u w:val="single"/>
        </w:rPr>
        <w:t>favorevole</w:t>
      </w:r>
      <w:r w:rsidRPr="00982FCE">
        <w:rPr>
          <w:rFonts w:ascii="Times New Roman" w:hAnsi="Times New Roman" w:cs="Times New Roman"/>
          <w:sz w:val="24"/>
          <w:szCs w:val="24"/>
        </w:rPr>
        <w:t xml:space="preserve"> in ordine alla </w:t>
      </w:r>
      <w:r w:rsidRPr="00982FCE">
        <w:rPr>
          <w:rFonts w:ascii="Times New Roman" w:hAnsi="Times New Roman" w:cs="Times New Roman"/>
          <w:sz w:val="24"/>
          <w:szCs w:val="24"/>
          <w:u w:val="single"/>
        </w:rPr>
        <w:t>regolarità tecnica</w:t>
      </w:r>
      <w:r w:rsidR="007606F5">
        <w:rPr>
          <w:rFonts w:ascii="Times New Roman" w:hAnsi="Times New Roman" w:cs="Times New Roman"/>
          <w:sz w:val="24"/>
          <w:szCs w:val="24"/>
          <w:u w:val="single"/>
        </w:rPr>
        <w:t xml:space="preserve"> e contabile</w:t>
      </w:r>
      <w:r w:rsidRPr="00982FCE">
        <w:rPr>
          <w:rFonts w:ascii="Times New Roman" w:hAnsi="Times New Roman" w:cs="Times New Roman"/>
          <w:sz w:val="24"/>
          <w:szCs w:val="24"/>
        </w:rPr>
        <w:t xml:space="preserve"> del presente atto, ai sensi dell’art. 49, comma 1, del D. </w:t>
      </w:r>
      <w:proofErr w:type="spellStart"/>
      <w:r w:rsidRPr="00982FCE">
        <w:rPr>
          <w:rFonts w:ascii="Times New Roman" w:hAnsi="Times New Roman" w:cs="Times New Roman"/>
          <w:sz w:val="24"/>
          <w:szCs w:val="24"/>
        </w:rPr>
        <w:t>lgs</w:t>
      </w:r>
      <w:proofErr w:type="spellEnd"/>
      <w:r w:rsidRPr="00982FCE">
        <w:rPr>
          <w:rFonts w:ascii="Times New Roman" w:hAnsi="Times New Roman" w:cs="Times New Roman"/>
          <w:sz w:val="24"/>
          <w:szCs w:val="24"/>
        </w:rPr>
        <w:t>. 267/2000.</w:t>
      </w:r>
    </w:p>
    <w:p w:rsidR="009929DE" w:rsidRPr="00982FCE" w:rsidRDefault="009929DE" w:rsidP="009929DE">
      <w:pPr>
        <w:ind w:right="32"/>
        <w:jc w:val="both"/>
        <w:rPr>
          <w:rFonts w:ascii="Times New Roman" w:hAnsi="Times New Roman" w:cs="Times New Roman"/>
          <w:sz w:val="24"/>
          <w:szCs w:val="24"/>
        </w:rPr>
      </w:pPr>
    </w:p>
    <w:p w:rsidR="0070660B" w:rsidRDefault="0070660B" w:rsidP="0070660B">
      <w:pPr>
        <w:tabs>
          <w:tab w:val="center" w:pos="5529"/>
        </w:tabs>
        <w:ind w:left="284" w:hanging="284"/>
        <w:jc w:val="right"/>
        <w:rPr>
          <w:rFonts w:ascii="Times New Roman" w:hAnsi="Times New Roman" w:cs="Times New Roman"/>
          <w:sz w:val="24"/>
          <w:szCs w:val="24"/>
        </w:rPr>
      </w:pPr>
      <w:r>
        <w:rPr>
          <w:rFonts w:ascii="Times New Roman" w:hAnsi="Times New Roman" w:cs="Times New Roman"/>
          <w:sz w:val="24"/>
          <w:szCs w:val="24"/>
        </w:rPr>
        <w:t>Dott. Marco Domenicucci</w:t>
      </w:r>
    </w:p>
    <w:p w:rsidR="0070660B" w:rsidRDefault="0070660B" w:rsidP="0070660B">
      <w:pPr>
        <w:rPr>
          <w:rFonts w:ascii="Times New Roman" w:hAnsi="Times New Roman" w:cs="Times New Roman"/>
          <w:sz w:val="24"/>
          <w:szCs w:val="24"/>
        </w:rPr>
      </w:pPr>
    </w:p>
    <w:p w:rsidR="0070660B" w:rsidRDefault="0070660B" w:rsidP="0070660B">
      <w:pPr>
        <w:rPr>
          <w:rFonts w:ascii="Times New Roman" w:hAnsi="Times New Roman" w:cs="Times New Roman"/>
          <w:sz w:val="24"/>
          <w:szCs w:val="24"/>
        </w:rPr>
      </w:pPr>
      <w:r>
        <w:rPr>
          <w:rFonts w:ascii="Times New Roman" w:hAnsi="Times New Roman" w:cs="Times New Roman"/>
          <w:sz w:val="24"/>
          <w:szCs w:val="24"/>
        </w:rPr>
        <w:t>Pesaro, 19.03.2019</w:t>
      </w:r>
    </w:p>
    <w:p w:rsidR="009929DE" w:rsidRPr="00982FCE" w:rsidRDefault="009929DE" w:rsidP="009929DE">
      <w:pPr>
        <w:ind w:right="32"/>
        <w:jc w:val="both"/>
        <w:rPr>
          <w:rFonts w:ascii="Times New Roman" w:hAnsi="Times New Roman" w:cs="Times New Roman"/>
          <w:sz w:val="24"/>
          <w:szCs w:val="24"/>
        </w:rPr>
      </w:pPr>
    </w:p>
    <w:p w:rsidR="009929DE" w:rsidRPr="00982FCE" w:rsidRDefault="009929DE" w:rsidP="009929DE">
      <w:pPr>
        <w:ind w:right="32"/>
        <w:jc w:val="both"/>
        <w:rPr>
          <w:rFonts w:ascii="Times New Roman" w:hAnsi="Times New Roman" w:cs="Times New Roman"/>
          <w:sz w:val="24"/>
          <w:szCs w:val="24"/>
        </w:rPr>
      </w:pPr>
    </w:p>
    <w:p w:rsidR="009929DE" w:rsidRPr="00982FCE" w:rsidRDefault="009929DE" w:rsidP="009929DE">
      <w:pPr>
        <w:tabs>
          <w:tab w:val="center" w:pos="6804"/>
        </w:tabs>
        <w:jc w:val="both"/>
        <w:rPr>
          <w:rFonts w:ascii="Times New Roman" w:hAnsi="Times New Roman" w:cs="Times New Roman"/>
          <w:sz w:val="24"/>
          <w:szCs w:val="24"/>
        </w:rPr>
      </w:pPr>
    </w:p>
    <w:p w:rsidR="009929DE" w:rsidRPr="00982FCE" w:rsidRDefault="009929DE" w:rsidP="009929DE">
      <w:pPr>
        <w:tabs>
          <w:tab w:val="center" w:pos="6804"/>
        </w:tabs>
        <w:jc w:val="both"/>
        <w:rPr>
          <w:rFonts w:ascii="Times New Roman" w:hAnsi="Times New Roman" w:cs="Times New Roman"/>
          <w:sz w:val="24"/>
          <w:szCs w:val="24"/>
        </w:rPr>
      </w:pPr>
    </w:p>
    <w:p w:rsidR="009929DE" w:rsidRDefault="009929DE" w:rsidP="009929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sz w:val="24"/>
          <w:szCs w:val="24"/>
        </w:rPr>
      </w:pPr>
    </w:p>
    <w:p w:rsidR="00681914" w:rsidRPr="009929DE" w:rsidRDefault="00681914" w:rsidP="009929DE">
      <w:pPr>
        <w:rPr>
          <w:rFonts w:ascii="Times New Roman" w:hAnsi="Times New Roman" w:cs="Times New Roman"/>
          <w:sz w:val="24"/>
          <w:szCs w:val="24"/>
        </w:rPr>
      </w:pPr>
    </w:p>
    <w:sectPr w:rsidR="00681914" w:rsidRPr="009929DE" w:rsidSect="0070660B">
      <w:footerReference w:type="default" r:id="rId8"/>
      <w:headerReference w:type="first" r:id="rId9"/>
      <w:footerReference w:type="first" r:id="rId10"/>
      <w:pgSz w:w="11900" w:h="16841"/>
      <w:pgMar w:top="1440" w:right="1320" w:bottom="464" w:left="1418" w:header="142" w:footer="597" w:gutter="0"/>
      <w:cols w:space="0" w:equalWidth="0">
        <w:col w:w="9162"/>
      </w:cols>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FB6" w:rsidRDefault="00B56FB6" w:rsidP="00DC29DA">
      <w:r>
        <w:separator/>
      </w:r>
    </w:p>
  </w:endnote>
  <w:endnote w:type="continuationSeparator" w:id="0">
    <w:p w:rsidR="00B56FB6" w:rsidRDefault="00B56FB6" w:rsidP="00DC2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Albertus Medium"/>
    <w:panose1 w:val="05000000000000000000"/>
    <w:charset w:val="02"/>
    <w:family w:val="auto"/>
    <w:pitch w:val="variable"/>
    <w:sig w:usb0="00000000" w:usb1="10000000" w:usb2="00000000" w:usb3="00000000" w:csb0="80000000" w:csb1="00000000"/>
  </w:font>
  <w:font w:name="Calibri">
    <w:altName w:val="Arial"/>
    <w:panose1 w:val="020F0502020204030204"/>
    <w:charset w:val="00"/>
    <w:family w:val="swiss"/>
    <w:pitch w:val="variable"/>
    <w:sig w:usb0="E0002AFF" w:usb1="C000247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60B" w:rsidRPr="00DC29DA" w:rsidRDefault="0070660B" w:rsidP="0070660B">
    <w:pPr>
      <w:pStyle w:val="Pidipagina"/>
      <w:jc w:val="center"/>
      <w:rPr>
        <w:rFonts w:ascii="Times New Roman" w:hAnsi="Times New Roman" w:cs="Times New Roman"/>
      </w:rPr>
    </w:pPr>
    <w:r>
      <w:rPr>
        <w:rFonts w:ascii="Times New Roman" w:hAnsi="Times New Roman" w:cs="Times New Roman"/>
      </w:rPr>
      <w:t xml:space="preserve">Preliminare di Decreto del Presidente </w:t>
    </w:r>
    <w:proofErr w:type="gramStart"/>
    <w:r>
      <w:rPr>
        <w:rFonts w:ascii="Times New Roman" w:hAnsi="Times New Roman" w:cs="Times New Roman"/>
      </w:rPr>
      <w:t>del  19.03.2019</w:t>
    </w:r>
    <w:proofErr w:type="gramEnd"/>
    <w:r>
      <w:rPr>
        <w:rFonts w:ascii="Times New Roman" w:hAnsi="Times New Roman" w:cs="Times New Roman"/>
      </w:rPr>
      <w:t xml:space="preserve"> -  ATA n.1 M</w:t>
    </w:r>
    <w:r w:rsidRPr="00DC29DA">
      <w:rPr>
        <w:rFonts w:ascii="Times New Roman" w:hAnsi="Times New Roman" w:cs="Times New Roman"/>
      </w:rPr>
      <w:t>arche Nord – Pesaro e Urbino</w:t>
    </w:r>
  </w:p>
  <w:p w:rsidR="0070660B" w:rsidRDefault="0070660B" w:rsidP="0070660B">
    <w:pPr>
      <w:pStyle w:val="Pidipagina"/>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60B" w:rsidRDefault="0070660B" w:rsidP="0070660B">
    <w:pPr>
      <w:pStyle w:val="Pidipagina"/>
      <w:jc w:val="center"/>
    </w:pPr>
    <w:r>
      <w:rPr>
        <w:rFonts w:ascii="Times New Roman" w:hAnsi="Times New Roman" w:cs="Times New Roman"/>
      </w:rPr>
      <w:t xml:space="preserve">Preliminare di Decreto del Presidente </w:t>
    </w:r>
    <w:proofErr w:type="gramStart"/>
    <w:r>
      <w:rPr>
        <w:rFonts w:ascii="Times New Roman" w:hAnsi="Times New Roman" w:cs="Times New Roman"/>
      </w:rPr>
      <w:t>del  19.03.2019</w:t>
    </w:r>
    <w:proofErr w:type="gramEnd"/>
    <w:r>
      <w:rPr>
        <w:rFonts w:ascii="Times New Roman" w:hAnsi="Times New Roman" w:cs="Times New Roman"/>
      </w:rPr>
      <w:t xml:space="preserve"> -  ATA n.1 M</w:t>
    </w:r>
    <w:r w:rsidRPr="00DC29DA">
      <w:rPr>
        <w:rFonts w:ascii="Times New Roman" w:hAnsi="Times New Roman" w:cs="Times New Roman"/>
      </w:rPr>
      <w:t>arche Nord – Pesaro e Urbino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FB6" w:rsidRDefault="00B56FB6" w:rsidP="00DC29DA">
      <w:r>
        <w:separator/>
      </w:r>
    </w:p>
  </w:footnote>
  <w:footnote w:type="continuationSeparator" w:id="0">
    <w:p w:rsidR="00B56FB6" w:rsidRDefault="00B56FB6" w:rsidP="00DC29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FB6" w:rsidRDefault="00B56FB6">
    <w:pPr>
      <w:pStyle w:val="Intestazione"/>
    </w:pPr>
  </w:p>
  <w:p w:rsidR="000E15D1" w:rsidRPr="007C0DDE" w:rsidRDefault="000E15D1" w:rsidP="000E15D1">
    <w:pPr>
      <w:pStyle w:val="Intestazione"/>
      <w:tabs>
        <w:tab w:val="left" w:pos="3531"/>
      </w:tabs>
      <w:rPr>
        <w:rFonts w:ascii="Times New Roman" w:hAnsi="Times New Roman" w:cs="Times New Roman"/>
        <w:b/>
        <w:color w:val="000080"/>
        <w:szCs w:val="24"/>
      </w:rPr>
    </w:pPr>
    <w:r w:rsidRPr="007C0DDE">
      <w:rPr>
        <w:rFonts w:ascii="Times New Roman" w:hAnsi="Times New Roman" w:cs="Times New Roman"/>
        <w:b/>
        <w:color w:val="000080"/>
        <w:sz w:val="28"/>
        <w:szCs w:val="28"/>
      </w:rPr>
      <w:t>Assemblea Territoriale d’Ambito (A.T.A.) Rifiuti</w:t>
    </w:r>
    <w:r w:rsidRPr="007C0DDE">
      <w:rPr>
        <w:rFonts w:ascii="Times New Roman" w:hAnsi="Times New Roman" w:cs="Times New Roman"/>
        <w:b/>
        <w:color w:val="000080"/>
        <w:szCs w:val="24"/>
      </w:rPr>
      <w:t xml:space="preserve">  </w:t>
    </w:r>
  </w:p>
  <w:p w:rsidR="000E15D1" w:rsidRPr="007C0DDE" w:rsidRDefault="000E15D1" w:rsidP="000E15D1">
    <w:pPr>
      <w:pStyle w:val="Intestazione"/>
      <w:tabs>
        <w:tab w:val="left" w:pos="3531"/>
      </w:tabs>
      <w:rPr>
        <w:rFonts w:ascii="Times New Roman" w:hAnsi="Times New Roman" w:cs="Times New Roman"/>
      </w:rPr>
    </w:pPr>
    <w:r w:rsidRPr="007C0DDE">
      <w:rPr>
        <w:rFonts w:ascii="Times New Roman" w:hAnsi="Times New Roman" w:cs="Times New Roman"/>
        <w:b/>
        <w:color w:val="000080"/>
        <w:szCs w:val="24"/>
      </w:rPr>
      <w:t>dell’Ambito territoriale ottimale 1 – Pesaro e Urbino</w:t>
    </w:r>
  </w:p>
  <w:p w:rsidR="000E15D1" w:rsidRDefault="000E15D1">
    <w:pPr>
      <w:pStyle w:val="Intestazione"/>
    </w:pPr>
  </w:p>
  <w:p w:rsidR="00B56FB6" w:rsidRPr="00594D34" w:rsidRDefault="00B56FB6" w:rsidP="00594D34">
    <w:pPr>
      <w:rPr>
        <w:rFonts w:ascii="Times New Roman" w:hAnsi="Times New Roman"/>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507ED7A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low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AF5A55"/>
    <w:multiLevelType w:val="hybridMultilevel"/>
    <w:tmpl w:val="76F87436"/>
    <w:lvl w:ilvl="0" w:tplc="E23A71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4A36FCA"/>
    <w:multiLevelType w:val="hybridMultilevel"/>
    <w:tmpl w:val="0C2C591C"/>
    <w:lvl w:ilvl="0" w:tplc="04100017">
      <w:start w:val="1"/>
      <w:numFmt w:val="lowerLetter"/>
      <w:lvlText w:val="%1)"/>
      <w:lvlJc w:val="left"/>
      <w:pPr>
        <w:tabs>
          <w:tab w:val="num" w:pos="1080"/>
        </w:tabs>
        <w:ind w:left="1080" w:hanging="360"/>
      </w:pPr>
      <w:rPr>
        <w:rFonts w:cs="Times New Roman"/>
      </w:rPr>
    </w:lvl>
    <w:lvl w:ilvl="1" w:tplc="04100005">
      <w:start w:val="1"/>
      <w:numFmt w:val="bullet"/>
      <w:lvlText w:val=""/>
      <w:lvlJc w:val="left"/>
      <w:pPr>
        <w:tabs>
          <w:tab w:val="num" w:pos="1800"/>
        </w:tabs>
        <w:ind w:left="1800" w:hanging="360"/>
      </w:pPr>
      <w:rPr>
        <w:rFonts w:ascii="Wingdings" w:hAnsi="Wingdings" w:hint="default"/>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3" w15:restartNumberingAfterBreak="0">
    <w:nsid w:val="1BB934F5"/>
    <w:multiLevelType w:val="hybridMultilevel"/>
    <w:tmpl w:val="0CC2CDDE"/>
    <w:lvl w:ilvl="0" w:tplc="5ED45BE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174E9D"/>
    <w:multiLevelType w:val="hybridMultilevel"/>
    <w:tmpl w:val="581A713C"/>
    <w:lvl w:ilvl="0" w:tplc="04100005">
      <w:start w:val="1"/>
      <w:numFmt w:val="bullet"/>
      <w:lvlText w:val=""/>
      <w:lvlJc w:val="left"/>
      <w:pPr>
        <w:ind w:left="1854" w:hanging="360"/>
      </w:pPr>
      <w:rPr>
        <w:rFonts w:ascii="Wingdings" w:hAnsi="Wingdings" w:hint="default"/>
      </w:rPr>
    </w:lvl>
    <w:lvl w:ilvl="1" w:tplc="04100003" w:tentative="1">
      <w:start w:val="1"/>
      <w:numFmt w:val="bullet"/>
      <w:lvlText w:val="o"/>
      <w:lvlJc w:val="left"/>
      <w:pPr>
        <w:ind w:left="2574" w:hanging="360"/>
      </w:pPr>
      <w:rPr>
        <w:rFonts w:ascii="Courier New" w:hAnsi="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5" w15:restartNumberingAfterBreak="0">
    <w:nsid w:val="1FBC303A"/>
    <w:multiLevelType w:val="hybridMultilevel"/>
    <w:tmpl w:val="1D48D272"/>
    <w:lvl w:ilvl="0" w:tplc="34BEC01A">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FCE69EC"/>
    <w:multiLevelType w:val="hybridMultilevel"/>
    <w:tmpl w:val="BD4EC8D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30AC7492"/>
    <w:multiLevelType w:val="hybridMultilevel"/>
    <w:tmpl w:val="C6EA9EF6"/>
    <w:lvl w:ilvl="0" w:tplc="E3EC772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79D3818"/>
    <w:multiLevelType w:val="hybridMultilevel"/>
    <w:tmpl w:val="4718D43A"/>
    <w:lvl w:ilvl="0" w:tplc="E3EC772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EAC1F9D"/>
    <w:multiLevelType w:val="hybridMultilevel"/>
    <w:tmpl w:val="515F007C"/>
    <w:lvl w:ilvl="0" w:tplc="F1EA26F6">
      <w:start w:val="1"/>
      <w:numFmt w:val="decimal"/>
      <w:lvlText w:val="%1."/>
      <w:lvlJc w:val="left"/>
      <w:rPr>
        <w:rFonts w:cs="Times New Roman"/>
      </w:rPr>
    </w:lvl>
    <w:lvl w:ilvl="1" w:tplc="2D1A864C">
      <w:start w:val="1"/>
      <w:numFmt w:val="bullet"/>
      <w:lvlText w:val=""/>
      <w:lvlJc w:val="left"/>
    </w:lvl>
    <w:lvl w:ilvl="2" w:tplc="8922778C">
      <w:start w:val="1"/>
      <w:numFmt w:val="bullet"/>
      <w:lvlText w:val=""/>
      <w:lvlJc w:val="left"/>
    </w:lvl>
    <w:lvl w:ilvl="3" w:tplc="9C029E72">
      <w:start w:val="1"/>
      <w:numFmt w:val="bullet"/>
      <w:lvlText w:val=""/>
      <w:lvlJc w:val="left"/>
    </w:lvl>
    <w:lvl w:ilvl="4" w:tplc="E99216CC">
      <w:start w:val="1"/>
      <w:numFmt w:val="bullet"/>
      <w:lvlText w:val=""/>
      <w:lvlJc w:val="left"/>
    </w:lvl>
    <w:lvl w:ilvl="5" w:tplc="0420A73C">
      <w:start w:val="1"/>
      <w:numFmt w:val="bullet"/>
      <w:lvlText w:val=""/>
      <w:lvlJc w:val="left"/>
    </w:lvl>
    <w:lvl w:ilvl="6" w:tplc="2A8E0502">
      <w:start w:val="1"/>
      <w:numFmt w:val="bullet"/>
      <w:lvlText w:val=""/>
      <w:lvlJc w:val="left"/>
    </w:lvl>
    <w:lvl w:ilvl="7" w:tplc="6F081B7A">
      <w:start w:val="1"/>
      <w:numFmt w:val="bullet"/>
      <w:lvlText w:val=""/>
      <w:lvlJc w:val="left"/>
    </w:lvl>
    <w:lvl w:ilvl="8" w:tplc="5AD03928">
      <w:start w:val="1"/>
      <w:numFmt w:val="bullet"/>
      <w:lvlText w:val=""/>
      <w:lvlJc w:val="left"/>
    </w:lvl>
  </w:abstractNum>
  <w:abstractNum w:abstractNumId="20" w15:restartNumberingAfterBreak="0">
    <w:nsid w:val="45657562"/>
    <w:multiLevelType w:val="hybridMultilevel"/>
    <w:tmpl w:val="0734C6A8"/>
    <w:lvl w:ilvl="0" w:tplc="E3EC772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8165BE5"/>
    <w:multiLevelType w:val="hybridMultilevel"/>
    <w:tmpl w:val="F314F6AA"/>
    <w:lvl w:ilvl="0" w:tplc="034AA5AA">
      <w:start w:val="1"/>
      <w:numFmt w:val="decimal"/>
      <w:lvlText w:val="%1."/>
      <w:lvlJc w:val="left"/>
      <w:pPr>
        <w:tabs>
          <w:tab w:val="num" w:pos="720"/>
        </w:tabs>
        <w:ind w:left="72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2" w15:restartNumberingAfterBreak="0">
    <w:nsid w:val="6CB80DD3"/>
    <w:multiLevelType w:val="hybridMultilevel"/>
    <w:tmpl w:val="38081B16"/>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79051229"/>
    <w:multiLevelType w:val="hybridMultilevel"/>
    <w:tmpl w:val="D3366D54"/>
    <w:lvl w:ilvl="0" w:tplc="E23A71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9"/>
  </w:num>
  <w:num w:numId="13">
    <w:abstractNumId w:val="0"/>
  </w:num>
  <w:num w:numId="14">
    <w:abstractNumId w:val="1"/>
  </w:num>
  <w:num w:numId="15">
    <w:abstractNumId w:val="2"/>
  </w:num>
  <w:num w:numId="16">
    <w:abstractNumId w:val="3"/>
  </w:num>
  <w:num w:numId="17">
    <w:abstractNumId w:val="4"/>
  </w:num>
  <w:num w:numId="18">
    <w:abstractNumId w:val="5"/>
  </w:num>
  <w:num w:numId="19">
    <w:abstractNumId w:val="6"/>
  </w:num>
  <w:num w:numId="20">
    <w:abstractNumId w:val="7"/>
  </w:num>
  <w:num w:numId="21">
    <w:abstractNumId w:val="8"/>
  </w:num>
  <w:num w:numId="22">
    <w:abstractNumId w:val="9"/>
  </w:num>
  <w:num w:numId="23">
    <w:abstractNumId w:val="10"/>
  </w:num>
  <w:num w:numId="24">
    <w:abstractNumId w:val="5"/>
    <w:lvlOverride w:ilvl="0">
      <w:startOverride w:val="1"/>
    </w:lvlOverride>
    <w:lvlOverride w:ilvl="1"/>
    <w:lvlOverride w:ilvl="2"/>
    <w:lvlOverride w:ilvl="3"/>
    <w:lvlOverride w:ilvl="4"/>
    <w:lvlOverride w:ilvl="5"/>
    <w:lvlOverride w:ilvl="6"/>
    <w:lvlOverride w:ilvl="7"/>
    <w:lvlOverride w:ilvl="8"/>
  </w:num>
  <w:num w:numId="25">
    <w:abstractNumId w:val="19"/>
    <w:lvlOverride w:ilvl="0">
      <w:startOverride w:val="1"/>
    </w:lvlOverride>
    <w:lvlOverride w:ilvl="1"/>
    <w:lvlOverride w:ilvl="2"/>
    <w:lvlOverride w:ilvl="3"/>
    <w:lvlOverride w:ilvl="4"/>
    <w:lvlOverride w:ilvl="5"/>
    <w:lvlOverride w:ilvl="6"/>
    <w:lvlOverride w:ilvl="7"/>
    <w:lvlOverride w:ilvl="8"/>
  </w:num>
  <w:num w:numId="26">
    <w:abstractNumId w:val="21"/>
  </w:num>
  <w:num w:numId="27">
    <w:abstractNumId w:val="12"/>
  </w:num>
  <w:num w:numId="28">
    <w:abstractNumId w:val="14"/>
  </w:num>
  <w:num w:numId="29">
    <w:abstractNumId w:val="22"/>
  </w:num>
  <w:num w:numId="30">
    <w:abstractNumId w:val="20"/>
  </w:num>
  <w:num w:numId="31">
    <w:abstractNumId w:val="13"/>
  </w:num>
  <w:num w:numId="32">
    <w:abstractNumId w:val="18"/>
  </w:num>
  <w:num w:numId="33">
    <w:abstractNumId w:val="17"/>
  </w:num>
  <w:num w:numId="34">
    <w:abstractNumId w:val="16"/>
  </w:num>
  <w:num w:numId="35">
    <w:abstractNumId w:val="23"/>
  </w:num>
  <w:num w:numId="36">
    <w:abstractNumId w:val="11"/>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0C95"/>
    <w:rsid w:val="0003745B"/>
    <w:rsid w:val="00091398"/>
    <w:rsid w:val="000A15E8"/>
    <w:rsid w:val="000C2909"/>
    <w:rsid w:val="000E15D1"/>
    <w:rsid w:val="00120CD4"/>
    <w:rsid w:val="001E1F63"/>
    <w:rsid w:val="002B5579"/>
    <w:rsid w:val="002B6D3A"/>
    <w:rsid w:val="003910A9"/>
    <w:rsid w:val="003C3C3D"/>
    <w:rsid w:val="004A4457"/>
    <w:rsid w:val="0051593D"/>
    <w:rsid w:val="0052499F"/>
    <w:rsid w:val="00560C95"/>
    <w:rsid w:val="005704F2"/>
    <w:rsid w:val="00594D34"/>
    <w:rsid w:val="005A3D7F"/>
    <w:rsid w:val="005A572A"/>
    <w:rsid w:val="005C3670"/>
    <w:rsid w:val="005F5F85"/>
    <w:rsid w:val="006403E9"/>
    <w:rsid w:val="00656159"/>
    <w:rsid w:val="00664C39"/>
    <w:rsid w:val="00681914"/>
    <w:rsid w:val="006B1B63"/>
    <w:rsid w:val="006E4515"/>
    <w:rsid w:val="0070660B"/>
    <w:rsid w:val="00741337"/>
    <w:rsid w:val="007606F5"/>
    <w:rsid w:val="007844FB"/>
    <w:rsid w:val="007C0FF2"/>
    <w:rsid w:val="00801F9B"/>
    <w:rsid w:val="008263F7"/>
    <w:rsid w:val="008C3EDE"/>
    <w:rsid w:val="008E6376"/>
    <w:rsid w:val="00901A35"/>
    <w:rsid w:val="00982FCE"/>
    <w:rsid w:val="0099240E"/>
    <w:rsid w:val="009929DE"/>
    <w:rsid w:val="00997A25"/>
    <w:rsid w:val="009D3616"/>
    <w:rsid w:val="00A562C3"/>
    <w:rsid w:val="00A932F2"/>
    <w:rsid w:val="00AA6155"/>
    <w:rsid w:val="00AB2C25"/>
    <w:rsid w:val="00AC0D6B"/>
    <w:rsid w:val="00AC2F92"/>
    <w:rsid w:val="00B43738"/>
    <w:rsid w:val="00B43E50"/>
    <w:rsid w:val="00B56FB6"/>
    <w:rsid w:val="00BF575F"/>
    <w:rsid w:val="00CF12B0"/>
    <w:rsid w:val="00CF65A1"/>
    <w:rsid w:val="00D049E8"/>
    <w:rsid w:val="00D3356A"/>
    <w:rsid w:val="00D804BA"/>
    <w:rsid w:val="00DC29DA"/>
    <w:rsid w:val="00DC3440"/>
    <w:rsid w:val="00E56FA9"/>
    <w:rsid w:val="00EA06B5"/>
    <w:rsid w:val="00F22DB3"/>
    <w:rsid w:val="00F50021"/>
    <w:rsid w:val="00F83DBB"/>
    <w:rsid w:val="00FD12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E61037"/>
  <w15:docId w15:val="{3B9D2948-DCB4-4F12-AC8A-7648324DC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E4515"/>
    <w:rPr>
      <w:rFonts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C29DA"/>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DC29DA"/>
    <w:rPr>
      <w:rFonts w:cs="Times New Roman"/>
    </w:rPr>
  </w:style>
  <w:style w:type="paragraph" w:styleId="Pidipagina">
    <w:name w:val="footer"/>
    <w:basedOn w:val="Normale"/>
    <w:link w:val="PidipaginaCarattere"/>
    <w:uiPriority w:val="99"/>
    <w:unhideWhenUsed/>
    <w:rsid w:val="00DC29DA"/>
    <w:pPr>
      <w:tabs>
        <w:tab w:val="center" w:pos="4819"/>
        <w:tab w:val="right" w:pos="9638"/>
      </w:tabs>
    </w:pPr>
  </w:style>
  <w:style w:type="character" w:customStyle="1" w:styleId="PidipaginaCarattere">
    <w:name w:val="Piè di pagina Carattere"/>
    <w:basedOn w:val="Carpredefinitoparagrafo"/>
    <w:link w:val="Pidipagina"/>
    <w:uiPriority w:val="99"/>
    <w:locked/>
    <w:rsid w:val="00DC29DA"/>
    <w:rPr>
      <w:rFonts w:cs="Times New Roman"/>
    </w:rPr>
  </w:style>
  <w:style w:type="paragraph" w:customStyle="1" w:styleId="rtf1Normal">
    <w:name w:val="rtf1 Normal"/>
    <w:qFormat/>
    <w:rsid w:val="006E4515"/>
    <w:rPr>
      <w:rFonts w:cs="Arial"/>
    </w:rPr>
  </w:style>
  <w:style w:type="character" w:customStyle="1" w:styleId="rtf1DefaultParagraphFont">
    <w:name w:val="rtf1 Default Paragraph Font"/>
    <w:uiPriority w:val="1"/>
    <w:semiHidden/>
    <w:unhideWhenUsed/>
    <w:rsid w:val="006E4515"/>
  </w:style>
  <w:style w:type="table" w:customStyle="1" w:styleId="rtf1NormalTable">
    <w:name w:val="rtf1 Normal Table"/>
    <w:uiPriority w:val="99"/>
    <w:semiHidden/>
    <w:unhideWhenUsed/>
    <w:rsid w:val="006E4515"/>
    <w:rPr>
      <w:rFonts w:cs="Times New Roman"/>
    </w:rPr>
    <w:tblPr>
      <w:tblInd w:w="0" w:type="dxa"/>
      <w:tblCellMar>
        <w:top w:w="0" w:type="dxa"/>
        <w:left w:w="108" w:type="dxa"/>
        <w:bottom w:w="0" w:type="dxa"/>
        <w:right w:w="108" w:type="dxa"/>
      </w:tblCellMar>
    </w:tblPr>
  </w:style>
  <w:style w:type="paragraph" w:customStyle="1" w:styleId="rtf1header">
    <w:name w:val="rtf1 header"/>
    <w:basedOn w:val="rtf1Normal"/>
    <w:link w:val="rtf1IntestazioneCarattere"/>
    <w:uiPriority w:val="99"/>
    <w:unhideWhenUsed/>
    <w:rsid w:val="00DC29DA"/>
    <w:pPr>
      <w:tabs>
        <w:tab w:val="center" w:pos="4819"/>
        <w:tab w:val="right" w:pos="9638"/>
      </w:tabs>
    </w:pPr>
  </w:style>
  <w:style w:type="character" w:customStyle="1" w:styleId="rtf1IntestazioneCarattere">
    <w:name w:val="rtf1 Intestazione Carattere"/>
    <w:basedOn w:val="rtf1DefaultParagraphFont"/>
    <w:link w:val="rtf1header"/>
    <w:uiPriority w:val="99"/>
    <w:locked/>
    <w:rsid w:val="00DC29DA"/>
    <w:rPr>
      <w:rFonts w:cs="Times New Roman"/>
    </w:rPr>
  </w:style>
  <w:style w:type="paragraph" w:customStyle="1" w:styleId="rtf1footer">
    <w:name w:val="rtf1 footer"/>
    <w:basedOn w:val="rtf1Normal"/>
    <w:link w:val="Pif1e8dipaginaCarattere"/>
    <w:uiPriority w:val="99"/>
    <w:unhideWhenUsed/>
    <w:rsid w:val="00DC29DA"/>
    <w:pPr>
      <w:tabs>
        <w:tab w:val="center" w:pos="4819"/>
        <w:tab w:val="right" w:pos="9638"/>
      </w:tabs>
    </w:pPr>
  </w:style>
  <w:style w:type="character" w:customStyle="1" w:styleId="Pif1e8dipaginaCarattere">
    <w:name w:val="Piíf1 e8 di pagina Carattere"/>
    <w:basedOn w:val="rtf1DefaultParagraphFont"/>
    <w:link w:val="rtf1footer"/>
    <w:uiPriority w:val="99"/>
    <w:locked/>
    <w:rsid w:val="00DC29DA"/>
    <w:rPr>
      <w:rFonts w:cs="Times New Roman"/>
    </w:rPr>
  </w:style>
  <w:style w:type="table" w:customStyle="1" w:styleId="rtf1TableGrid">
    <w:name w:val="rtf1 Table Grid"/>
    <w:basedOn w:val="rtf1NormalTable"/>
    <w:uiPriority w:val="59"/>
    <w:rsid w:val="006E4515"/>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rtf2Normal">
    <w:name w:val="rtf2 Normal"/>
    <w:qFormat/>
    <w:rsid w:val="006E4515"/>
    <w:rPr>
      <w:rFonts w:ascii="Times New Roman" w:hAnsi="Times New Roman" w:cs="Times New Roman"/>
      <w:sz w:val="24"/>
      <w:szCs w:val="24"/>
    </w:rPr>
  </w:style>
  <w:style w:type="character" w:customStyle="1" w:styleId="rtf2DefaultParagraphFont">
    <w:name w:val="rtf2 Default Paragraph Font"/>
    <w:uiPriority w:val="99"/>
    <w:rsid w:val="006E4515"/>
  </w:style>
  <w:style w:type="table" w:customStyle="1" w:styleId="rtf2NormalTable">
    <w:name w:val="rtf2 Normal Table"/>
    <w:uiPriority w:val="99"/>
    <w:semiHidden/>
    <w:unhideWhenUsed/>
    <w:qFormat/>
    <w:rsid w:val="006E4515"/>
    <w:pPr>
      <w:spacing w:after="200" w:line="276" w:lineRule="auto"/>
    </w:pPr>
    <w:rPr>
      <w:rFonts w:asciiTheme="minorHAnsi" w:hAnsi="Times New Roman" w:cs="Times New Roman"/>
      <w:sz w:val="22"/>
      <w:szCs w:val="22"/>
    </w:rPr>
    <w:tblPr>
      <w:tblInd w:w="0" w:type="dxa"/>
      <w:tblCellMar>
        <w:top w:w="0" w:type="dxa"/>
        <w:left w:w="108" w:type="dxa"/>
        <w:bottom w:w="0" w:type="dxa"/>
        <w:right w:w="108" w:type="dxa"/>
      </w:tblCellMar>
    </w:tblPr>
  </w:style>
  <w:style w:type="paragraph" w:customStyle="1" w:styleId="rtf2Normale">
    <w:name w:val="rtf2 [Normale]"/>
    <w:uiPriority w:val="99"/>
    <w:rsid w:val="009929DE"/>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pPr>
    <w:rPr>
      <w:rFonts w:ascii="Arial" w:hAnsi="Arial" w:cs="Arial"/>
      <w:sz w:val="24"/>
      <w:szCs w:val="24"/>
    </w:rPr>
  </w:style>
  <w:style w:type="paragraph" w:customStyle="1" w:styleId="rtf2rtf1rtf1rtf1rtf1rtf1COMMI">
    <w:name w:val="rtf2 rtf1 rtf1 rtf1 rtf1 rtf1 COMMI"/>
    <w:basedOn w:val="rtf2Normal"/>
    <w:autoRedefine/>
    <w:uiPriority w:val="99"/>
    <w:rsid w:val="009929DE"/>
    <w:pPr>
      <w:tabs>
        <w:tab w:val="left" w:pos="2340"/>
        <w:tab w:val="center" w:pos="5040"/>
      </w:tabs>
      <w:spacing w:after="120"/>
    </w:pPr>
    <w:rPr>
      <w:rFonts w:ascii="Georgia" w:hAnsi="Georgia" w:cs="Georgia"/>
      <w:b/>
      <w:bCs/>
      <w:sz w:val="22"/>
      <w:szCs w:val="22"/>
    </w:rPr>
  </w:style>
  <w:style w:type="paragraph" w:customStyle="1" w:styleId="rtf2rtf1rtf1ListParagraph">
    <w:name w:val="rtf2 rtf1 rtf1 List Paragraph"/>
    <w:basedOn w:val="rtf2Normal"/>
    <w:uiPriority w:val="34"/>
    <w:qFormat/>
    <w:rsid w:val="009929DE"/>
    <w:pPr>
      <w:ind w:left="708"/>
    </w:pPr>
  </w:style>
  <w:style w:type="paragraph" w:customStyle="1" w:styleId="rtf2rtf1rtf1Default">
    <w:name w:val="rtf2 rtf1 rtf1 Default"/>
    <w:rsid w:val="009929DE"/>
    <w:pPr>
      <w:autoSpaceDE w:val="0"/>
      <w:autoSpaceDN w:val="0"/>
      <w:adjustRightInd w:val="0"/>
    </w:pPr>
    <w:rPr>
      <w:rFonts w:ascii="Arial" w:hAnsi="Arial" w:cs="Arial"/>
      <w:color w:val="000000"/>
      <w:sz w:val="24"/>
      <w:szCs w:val="24"/>
      <w:lang w:eastAsia="en-US"/>
    </w:rPr>
  </w:style>
  <w:style w:type="paragraph" w:styleId="Testofumetto">
    <w:name w:val="Balloon Text"/>
    <w:basedOn w:val="Normale"/>
    <w:link w:val="TestofumettoCarattere"/>
    <w:uiPriority w:val="99"/>
    <w:semiHidden/>
    <w:unhideWhenUsed/>
    <w:rsid w:val="00AB2C2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B2C25"/>
    <w:rPr>
      <w:rFonts w:ascii="Tahoma" w:hAnsi="Tahoma" w:cs="Tahoma"/>
      <w:sz w:val="16"/>
      <w:szCs w:val="16"/>
    </w:rPr>
  </w:style>
  <w:style w:type="paragraph" w:customStyle="1" w:styleId="rtf1Default">
    <w:name w:val="rtf1 Default"/>
    <w:rsid w:val="00AB2C25"/>
    <w:pPr>
      <w:autoSpaceDE w:val="0"/>
      <w:autoSpaceDN w:val="0"/>
      <w:adjustRightInd w:val="0"/>
    </w:pPr>
    <w:rPr>
      <w:rFonts w:ascii="Arial" w:hAnsi="Arial" w:cs="Arial"/>
      <w:color w:val="000000"/>
      <w:sz w:val="24"/>
      <w:szCs w:val="24"/>
      <w:lang w:eastAsia="en-US"/>
    </w:rPr>
  </w:style>
  <w:style w:type="paragraph" w:styleId="Paragrafoelenco">
    <w:name w:val="List Paragraph"/>
    <w:basedOn w:val="Normale"/>
    <w:uiPriority w:val="34"/>
    <w:qFormat/>
    <w:rsid w:val="00AB2C25"/>
    <w:pPr>
      <w:spacing w:after="200" w:line="276" w:lineRule="auto"/>
      <w:ind w:left="720"/>
      <w:contextualSpacing/>
    </w:pPr>
    <w:rPr>
      <w:rFonts w:cs="Times New Roman"/>
      <w:sz w:val="22"/>
      <w:szCs w:val="22"/>
      <w:lang w:eastAsia="en-US"/>
    </w:rPr>
  </w:style>
  <w:style w:type="table" w:styleId="Grigliatabella">
    <w:name w:val="Table Grid"/>
    <w:basedOn w:val="Tabellanormale"/>
    <w:uiPriority w:val="59"/>
    <w:rsid w:val="000E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39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3EF16D-01B4-4D91-939F-B9DEB2E27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1329</Words>
  <Characters>7579</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User</cp:lastModifiedBy>
  <cp:revision>19</cp:revision>
  <cp:lastPrinted>2017-12-04T09:42:00Z</cp:lastPrinted>
  <dcterms:created xsi:type="dcterms:W3CDTF">2017-11-25T11:18:00Z</dcterms:created>
  <dcterms:modified xsi:type="dcterms:W3CDTF">2019-03-21T10:36:00Z</dcterms:modified>
</cp:coreProperties>
</file>